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B1B" w:rsidRDefault="00833B1B">
      <w:pPr>
        <w:spacing w:after="0" w:line="240" w:lineRule="auto"/>
        <w:rPr>
          <w:b/>
          <w:color w:val="C00000"/>
          <w:sz w:val="24"/>
          <w:szCs w:val="24"/>
        </w:rPr>
      </w:pPr>
    </w:p>
    <w:p w:rsidR="00833B1B" w:rsidRDefault="00833B1B">
      <w:pPr>
        <w:spacing w:after="0" w:line="240" w:lineRule="auto"/>
        <w:rPr>
          <w:b/>
          <w:color w:val="C00000"/>
          <w:sz w:val="24"/>
          <w:szCs w:val="24"/>
        </w:rPr>
      </w:pPr>
    </w:p>
    <w:p w:rsidR="00B442AF" w:rsidRDefault="00B442AF">
      <w:pPr>
        <w:spacing w:after="0" w:line="240" w:lineRule="auto"/>
        <w:rPr>
          <w:b/>
          <w:color w:val="C00000"/>
          <w:sz w:val="24"/>
          <w:szCs w:val="24"/>
        </w:rPr>
      </w:pPr>
    </w:p>
    <w:p w:rsidR="00B442AF" w:rsidRDefault="00B442AF">
      <w:pPr>
        <w:spacing w:after="0" w:line="240" w:lineRule="auto"/>
        <w:rPr>
          <w:b/>
          <w:color w:val="C00000"/>
          <w:sz w:val="24"/>
          <w:szCs w:val="24"/>
        </w:rPr>
      </w:pPr>
    </w:p>
    <w:p w:rsidR="00833B1B" w:rsidRDefault="006B5185">
      <w:pPr>
        <w:spacing w:after="0" w:line="240" w:lineRule="auto"/>
        <w:rPr>
          <w:b/>
          <w:color w:val="C00000"/>
          <w:sz w:val="24"/>
          <w:szCs w:val="24"/>
        </w:rPr>
      </w:pPr>
      <w:r>
        <w:rPr>
          <w:b/>
          <w:noProof/>
          <w:color w:val="C00000"/>
          <w:sz w:val="24"/>
          <w:szCs w:val="24"/>
          <w:lang w:eastAsia="nl-BE"/>
        </w:rPr>
        <w:drawing>
          <wp:inline distT="0" distB="0" distL="0" distR="0" wp14:anchorId="7D2DBC02">
            <wp:extent cx="5760720" cy="502322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673" cy="5021435"/>
                    </a:xfrm>
                    <a:prstGeom prst="rect">
                      <a:avLst/>
                    </a:prstGeom>
                    <a:noFill/>
                  </pic:spPr>
                </pic:pic>
              </a:graphicData>
            </a:graphic>
          </wp:inline>
        </w:drawing>
      </w:r>
    </w:p>
    <w:p w:rsidR="00833B1B" w:rsidRDefault="00833B1B">
      <w:pPr>
        <w:spacing w:after="0" w:line="240" w:lineRule="auto"/>
        <w:rPr>
          <w:b/>
          <w:color w:val="C00000"/>
          <w:sz w:val="24"/>
          <w:szCs w:val="24"/>
        </w:rPr>
      </w:pPr>
    </w:p>
    <w:p w:rsidR="00833B1B" w:rsidRDefault="00833B1B">
      <w:pPr>
        <w:spacing w:after="0" w:line="240" w:lineRule="auto"/>
        <w:rPr>
          <w:b/>
          <w:color w:val="C00000"/>
          <w:sz w:val="24"/>
          <w:szCs w:val="24"/>
        </w:rPr>
      </w:pPr>
    </w:p>
    <w:p w:rsidR="001F08DA" w:rsidRDefault="001F08DA">
      <w:pPr>
        <w:spacing w:after="0" w:line="240" w:lineRule="auto"/>
        <w:rPr>
          <w:b/>
          <w:color w:val="C00000"/>
          <w:sz w:val="24"/>
          <w:szCs w:val="24"/>
        </w:rPr>
      </w:pPr>
    </w:p>
    <w:p w:rsidR="00B442AF" w:rsidRDefault="00B442AF">
      <w:pPr>
        <w:spacing w:after="0" w:line="240" w:lineRule="auto"/>
        <w:rPr>
          <w:b/>
          <w:color w:val="C00000"/>
          <w:sz w:val="24"/>
          <w:szCs w:val="24"/>
        </w:rPr>
      </w:pPr>
    </w:p>
    <w:p w:rsidR="009B28A3" w:rsidRDefault="009B28A3">
      <w:pPr>
        <w:spacing w:after="0" w:line="240" w:lineRule="auto"/>
        <w:rPr>
          <w:b/>
          <w:color w:val="C00000"/>
          <w:sz w:val="24"/>
          <w:szCs w:val="24"/>
        </w:rPr>
      </w:pPr>
    </w:p>
    <w:p w:rsidR="006B5185" w:rsidRDefault="006B5185">
      <w:pPr>
        <w:spacing w:after="0" w:line="240" w:lineRule="auto"/>
        <w:rPr>
          <w:b/>
          <w:color w:val="C00000"/>
          <w:sz w:val="24"/>
          <w:szCs w:val="24"/>
        </w:rPr>
      </w:pPr>
    </w:p>
    <w:p w:rsidR="001F08DA" w:rsidRDefault="001F08DA">
      <w:pPr>
        <w:spacing w:after="0" w:line="240" w:lineRule="auto"/>
        <w:rPr>
          <w:b/>
          <w:color w:val="C00000"/>
          <w:sz w:val="24"/>
          <w:szCs w:val="24"/>
        </w:rPr>
      </w:pPr>
    </w:p>
    <w:p w:rsidR="001F08DA" w:rsidRPr="005A40E5" w:rsidRDefault="005A40E5">
      <w:pPr>
        <w:spacing w:after="0" w:line="240" w:lineRule="auto"/>
        <w:rPr>
          <w:b/>
          <w:color w:val="000000" w:themeColor="text1"/>
          <w:sz w:val="36"/>
          <w:szCs w:val="36"/>
        </w:rPr>
      </w:pPr>
      <w:r>
        <w:rPr>
          <w:b/>
          <w:color w:val="000000" w:themeColor="text1"/>
          <w:sz w:val="32"/>
          <w:szCs w:val="32"/>
        </w:rPr>
        <w:tab/>
      </w:r>
      <w:r w:rsidR="001F08DA" w:rsidRPr="005A40E5">
        <w:rPr>
          <w:b/>
          <w:color w:val="000000" w:themeColor="text1"/>
          <w:sz w:val="36"/>
          <w:szCs w:val="36"/>
        </w:rPr>
        <w:t>Provincie Antwerpen, Dienst Welzijn en Gezondheid</w:t>
      </w:r>
    </w:p>
    <w:p w:rsidR="00A566F4" w:rsidRDefault="00A566F4">
      <w:pPr>
        <w:spacing w:after="0" w:line="240" w:lineRule="auto"/>
        <w:rPr>
          <w:b/>
          <w:color w:val="C00000"/>
          <w:sz w:val="24"/>
          <w:szCs w:val="24"/>
        </w:rPr>
      </w:pPr>
      <w:r>
        <w:rPr>
          <w:b/>
          <w:color w:val="C00000"/>
          <w:sz w:val="24"/>
          <w:szCs w:val="24"/>
        </w:rPr>
        <w:br w:type="page"/>
      </w:r>
    </w:p>
    <w:p w:rsidR="00EC4FF9" w:rsidRDefault="00EC4FF9" w:rsidP="00484ACA">
      <w:pPr>
        <w:widowControl w:val="0"/>
        <w:pBdr>
          <w:top w:val="single" w:sz="2" w:space="1" w:color="auto"/>
          <w:left w:val="single" w:sz="2" w:space="4" w:color="auto"/>
          <w:bottom w:val="single" w:sz="2" w:space="1" w:color="auto"/>
          <w:right w:val="single" w:sz="2" w:space="0" w:color="auto"/>
        </w:pBdr>
        <w:suppressAutoHyphens/>
        <w:spacing w:before="200" w:after="0" w:line="300" w:lineRule="auto"/>
        <w:ind w:left="227" w:right="227"/>
        <w:rPr>
          <w:rFonts w:eastAsia="Times New Roman"/>
          <w:b/>
          <w:sz w:val="26"/>
          <w:szCs w:val="26"/>
          <w:lang w:eastAsia="nl-BE"/>
        </w:rPr>
      </w:pPr>
    </w:p>
    <w:p w:rsidR="00484ACA" w:rsidRDefault="00EC4FF9" w:rsidP="00484ACA">
      <w:pPr>
        <w:widowControl w:val="0"/>
        <w:pBdr>
          <w:top w:val="single" w:sz="2" w:space="1" w:color="auto"/>
          <w:left w:val="single" w:sz="2" w:space="4" w:color="auto"/>
          <w:bottom w:val="single" w:sz="2" w:space="1" w:color="auto"/>
          <w:right w:val="single" w:sz="2" w:space="0" w:color="auto"/>
        </w:pBdr>
        <w:suppressAutoHyphens/>
        <w:spacing w:before="200" w:after="0" w:line="300" w:lineRule="auto"/>
        <w:ind w:left="227" w:right="227"/>
        <w:rPr>
          <w:rFonts w:eastAsia="Times New Roman"/>
          <w:b/>
          <w:sz w:val="26"/>
          <w:szCs w:val="26"/>
          <w:lang w:eastAsia="nl-BE"/>
        </w:rPr>
      </w:pPr>
      <w:r>
        <w:rPr>
          <w:rFonts w:eastAsia="Times New Roman"/>
          <w:b/>
          <w:sz w:val="26"/>
          <w:szCs w:val="26"/>
          <w:lang w:eastAsia="nl-BE"/>
        </w:rPr>
        <w:t>Lokale bevolkingsprojecties</w:t>
      </w:r>
      <w:r w:rsidR="002D0A48">
        <w:rPr>
          <w:rFonts w:eastAsia="Times New Roman"/>
          <w:b/>
          <w:sz w:val="26"/>
          <w:szCs w:val="26"/>
          <w:lang w:eastAsia="nl-BE"/>
        </w:rPr>
        <w:t>,</w:t>
      </w:r>
      <w:r w:rsidR="00415219">
        <w:rPr>
          <w:rFonts w:eastAsia="Times New Roman"/>
          <w:b/>
          <w:sz w:val="26"/>
          <w:szCs w:val="26"/>
          <w:lang w:eastAsia="nl-BE"/>
        </w:rPr>
        <w:t xml:space="preserve"> </w:t>
      </w:r>
      <w:r w:rsidR="002D0A48">
        <w:rPr>
          <w:rFonts w:eastAsia="Times New Roman"/>
          <w:b/>
          <w:sz w:val="26"/>
          <w:szCs w:val="26"/>
          <w:lang w:eastAsia="nl-BE"/>
        </w:rPr>
        <w:t>d</w:t>
      </w:r>
      <w:r>
        <w:rPr>
          <w:rFonts w:eastAsia="Times New Roman"/>
          <w:b/>
          <w:sz w:val="26"/>
          <w:szCs w:val="26"/>
          <w:lang w:eastAsia="nl-BE"/>
        </w:rPr>
        <w:t>e onzekerheid van cijfers</w:t>
      </w: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ascii="Verdana" w:eastAsia="SimSun" w:hAnsi="Verdana" w:cs="Tahoma"/>
          <w:kern w:val="1"/>
          <w:sz w:val="20"/>
          <w:szCs w:val="20"/>
          <w:lang w:eastAsia="hi-IN" w:bidi="hi-IN"/>
        </w:rPr>
      </w:pPr>
      <w:r>
        <w:rPr>
          <w:rFonts w:ascii="Verdana" w:eastAsia="SimSun" w:hAnsi="Verdana" w:cs="Tahoma"/>
          <w:noProof/>
          <w:kern w:val="1"/>
          <w:sz w:val="20"/>
          <w:szCs w:val="20"/>
          <w:lang w:eastAsia="nl-BE"/>
        </w:rPr>
        <w:drawing>
          <wp:inline distT="0" distB="0" distL="0" distR="0" wp14:anchorId="4C20A909" wp14:editId="1C018DD9">
            <wp:extent cx="998220" cy="1173908"/>
            <wp:effectExtent l="0" t="0" r="0" b="0"/>
            <wp:docPr id="29" name="Afbeelding 29" descr="J:\Projects\DWEP\Welzijn\demografie_origine\attributen\provincie_antwerpen_logo_kle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rojects\DWEP\Welzijn\demografie_origine\attributen\provincie_antwerpen_logo_klein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1515" cy="1177783"/>
                    </a:xfrm>
                    <a:prstGeom prst="rect">
                      <a:avLst/>
                    </a:prstGeom>
                    <a:noFill/>
                    <a:ln>
                      <a:noFill/>
                    </a:ln>
                  </pic:spPr>
                </pic:pic>
              </a:graphicData>
            </a:graphic>
          </wp:inline>
        </w:drawing>
      </w: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ascii="Verdana" w:eastAsia="SimSun" w:hAnsi="Verdana" w:cs="Tahoma"/>
          <w:b/>
          <w:bCs/>
          <w:kern w:val="1"/>
          <w:sz w:val="20"/>
          <w:szCs w:val="20"/>
          <w:lang w:eastAsia="hi-IN" w:bidi="hi-IN"/>
        </w:rPr>
      </w:pPr>
    </w:p>
    <w:p w:rsidR="00484ACA" w:rsidRPr="00484ACA" w:rsidRDefault="00EC4FF9"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r>
        <w:rPr>
          <w:rFonts w:eastAsia="SimSun" w:cs="Calibri"/>
          <w:b/>
          <w:bCs/>
          <w:kern w:val="1"/>
          <w:lang w:eastAsia="hi-IN" w:bidi="hi-IN"/>
        </w:rPr>
        <w:t xml:space="preserve">Dienst </w:t>
      </w:r>
      <w:r w:rsidR="00484ACA" w:rsidRPr="00484ACA">
        <w:rPr>
          <w:rFonts w:eastAsia="SimSun" w:cs="Calibri"/>
          <w:b/>
          <w:bCs/>
          <w:kern w:val="1"/>
          <w:lang w:eastAsia="hi-IN" w:bidi="hi-IN"/>
        </w:rPr>
        <w:t>Welzijn en Gezondheid</w:t>
      </w:r>
      <w:r w:rsidR="00484ACA" w:rsidRPr="00484ACA">
        <w:rPr>
          <w:rFonts w:eastAsia="SimSun" w:cs="Calibri"/>
          <w:b/>
          <w:bCs/>
          <w:kern w:val="1"/>
          <w:lang w:eastAsia="hi-IN" w:bidi="hi-IN"/>
        </w:rPr>
        <w:tab/>
      </w:r>
      <w:r w:rsidR="00484ACA" w:rsidRPr="00484ACA">
        <w:rPr>
          <w:rFonts w:eastAsia="SimSun" w:cs="Calibri"/>
          <w:b/>
          <w:bCs/>
          <w:kern w:val="1"/>
          <w:lang w:eastAsia="hi-IN" w:bidi="hi-IN"/>
        </w:rPr>
        <w:tab/>
      </w:r>
      <w:r>
        <w:rPr>
          <w:rFonts w:eastAsia="SimSun" w:cs="Calibri"/>
          <w:b/>
          <w:bCs/>
          <w:kern w:val="1"/>
          <w:lang w:eastAsia="hi-IN" w:bidi="hi-IN"/>
        </w:rPr>
        <w:tab/>
      </w:r>
      <w:r>
        <w:rPr>
          <w:rFonts w:eastAsia="SimSun" w:cs="Calibri"/>
          <w:b/>
          <w:bCs/>
          <w:kern w:val="1"/>
          <w:lang w:eastAsia="hi-IN" w:bidi="hi-IN"/>
        </w:rPr>
        <w:tab/>
      </w:r>
      <w:r w:rsidR="00484ACA" w:rsidRPr="00484ACA">
        <w:rPr>
          <w:rFonts w:eastAsia="SimSun" w:cs="Calibri"/>
          <w:b/>
          <w:bCs/>
          <w:kern w:val="1"/>
          <w:lang w:eastAsia="hi-IN" w:bidi="hi-IN"/>
        </w:rPr>
        <w:t>Antwerpen, 201</w:t>
      </w:r>
      <w:r w:rsidR="00B76C0C">
        <w:rPr>
          <w:rFonts w:eastAsia="SimSun" w:cs="Calibri"/>
          <w:b/>
          <w:bCs/>
          <w:kern w:val="1"/>
          <w:lang w:eastAsia="hi-IN" w:bidi="hi-IN"/>
        </w:rPr>
        <w:t>5</w:t>
      </w:r>
    </w:p>
    <w:p w:rsidR="00484ACA" w:rsidRPr="00484ACA" w:rsidRDefault="00EC4FF9"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r>
        <w:rPr>
          <w:rFonts w:eastAsia="SimSun" w:cs="Calibri"/>
          <w:kern w:val="1"/>
          <w:lang w:eastAsia="hi-IN" w:bidi="hi-IN"/>
        </w:rPr>
        <w:t xml:space="preserve">Stafdienst - </w:t>
      </w:r>
      <w:r w:rsidR="00484ACA" w:rsidRPr="00484ACA">
        <w:rPr>
          <w:rFonts w:eastAsia="SimSun" w:cs="Calibri"/>
          <w:kern w:val="1"/>
          <w:lang w:eastAsia="hi-IN" w:bidi="hi-IN"/>
        </w:rPr>
        <w:t>Steunpunt sociale planning</w:t>
      </w: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r w:rsidRPr="00484ACA">
        <w:rPr>
          <w:rFonts w:eastAsia="SimSun" w:cs="Calibri"/>
          <w:kern w:val="1"/>
          <w:lang w:eastAsia="hi-IN" w:bidi="hi-IN"/>
        </w:rPr>
        <w:t xml:space="preserve">Guido </w:t>
      </w:r>
      <w:proofErr w:type="spellStart"/>
      <w:r w:rsidRPr="00484ACA">
        <w:rPr>
          <w:rFonts w:eastAsia="SimSun" w:cs="Calibri"/>
          <w:kern w:val="1"/>
          <w:lang w:eastAsia="hi-IN" w:bidi="hi-IN"/>
        </w:rPr>
        <w:t>Bottu</w:t>
      </w:r>
      <w:proofErr w:type="spellEnd"/>
      <w:r w:rsidRPr="00484ACA">
        <w:rPr>
          <w:rFonts w:eastAsia="SimSun" w:cs="Calibri"/>
          <w:kern w:val="1"/>
          <w:lang w:eastAsia="hi-IN" w:bidi="hi-IN"/>
        </w:rPr>
        <w:t xml:space="preserve"> (auteur)</w:t>
      </w:r>
      <w:r w:rsidRPr="00484ACA">
        <w:rPr>
          <w:rFonts w:eastAsia="SimSun" w:cs="Calibri"/>
          <w:kern w:val="1"/>
          <w:lang w:eastAsia="hi-IN" w:bidi="hi-IN"/>
        </w:rPr>
        <w:tab/>
      </w:r>
      <w:r w:rsidRPr="00484ACA">
        <w:rPr>
          <w:rFonts w:eastAsia="SimSun" w:cs="Calibri"/>
          <w:kern w:val="1"/>
          <w:lang w:eastAsia="hi-IN" w:bidi="hi-IN"/>
        </w:rPr>
        <w:tab/>
      </w:r>
      <w:r w:rsidRPr="00484ACA">
        <w:rPr>
          <w:rFonts w:eastAsia="SimSun" w:cs="Calibri"/>
          <w:kern w:val="1"/>
          <w:lang w:eastAsia="hi-IN" w:bidi="hi-IN"/>
        </w:rPr>
        <w:tab/>
      </w:r>
      <w:r w:rsidR="00B76C0C">
        <w:rPr>
          <w:rFonts w:eastAsia="SimSun" w:cs="Calibri"/>
          <w:kern w:val="1"/>
          <w:lang w:eastAsia="hi-IN" w:bidi="hi-IN"/>
        </w:rPr>
        <w:tab/>
      </w:r>
      <w:r w:rsidR="00B76C0C">
        <w:rPr>
          <w:rFonts w:eastAsia="SimSun" w:cs="Calibri"/>
          <w:kern w:val="1"/>
          <w:lang w:eastAsia="hi-IN" w:bidi="hi-IN"/>
        </w:rPr>
        <w:tab/>
      </w:r>
      <w:r w:rsidR="00B76C0C">
        <w:rPr>
          <w:rFonts w:eastAsia="SimSun" w:cs="Calibri"/>
          <w:kern w:val="1"/>
          <w:lang w:eastAsia="hi-IN" w:bidi="hi-IN"/>
        </w:rPr>
        <w:tab/>
      </w:r>
      <w:r w:rsidRPr="00484ACA">
        <w:rPr>
          <w:rFonts w:eastAsia="SimSun" w:cs="Calibri"/>
          <w:kern w:val="1"/>
          <w:lang w:eastAsia="hi-IN" w:bidi="hi-IN"/>
        </w:rPr>
        <w:t xml:space="preserve">Rudy </w:t>
      </w:r>
      <w:proofErr w:type="spellStart"/>
      <w:r w:rsidRPr="00484ACA">
        <w:rPr>
          <w:rFonts w:eastAsia="SimSun" w:cs="Calibri"/>
          <w:kern w:val="1"/>
          <w:lang w:eastAsia="hi-IN" w:bidi="hi-IN"/>
        </w:rPr>
        <w:t>Marynissen</w:t>
      </w:r>
      <w:proofErr w:type="spellEnd"/>
      <w:r w:rsidRPr="00484ACA">
        <w:rPr>
          <w:rFonts w:eastAsia="SimSun" w:cs="Calibri"/>
          <w:kern w:val="1"/>
          <w:lang w:eastAsia="hi-IN" w:bidi="hi-IN"/>
        </w:rPr>
        <w:tab/>
      </w:r>
      <w:r w:rsidRPr="00484ACA">
        <w:rPr>
          <w:rFonts w:eastAsia="SimSun" w:cs="Calibri"/>
          <w:kern w:val="1"/>
          <w:lang w:eastAsia="hi-IN" w:bidi="hi-IN"/>
        </w:rPr>
        <w:tab/>
      </w: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p>
    <w:p w:rsidR="00484ACA" w:rsidRPr="00484ACA"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p>
    <w:p w:rsidR="00484ACA" w:rsidRPr="00D848E3" w:rsidRDefault="00484ACA" w:rsidP="00484ACA">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kern w:val="1"/>
          <w:lang w:eastAsia="hi-IN" w:bidi="hi-IN"/>
        </w:rPr>
      </w:pPr>
      <w:r w:rsidRPr="00484ACA">
        <w:rPr>
          <w:rFonts w:eastAsia="SimSun" w:cs="Calibri"/>
          <w:kern w:val="1"/>
          <w:lang w:eastAsia="hi-IN" w:bidi="hi-IN"/>
        </w:rPr>
        <w:t>Boomgaardstraat 22 (bus 100), 2600 Antwerpen (Berchem)</w:t>
      </w:r>
      <w:r w:rsidRPr="00484ACA">
        <w:rPr>
          <w:rFonts w:eastAsia="SimSun" w:cs="Calibri"/>
          <w:kern w:val="1"/>
          <w:lang w:eastAsia="hi-IN" w:bidi="hi-IN"/>
        </w:rPr>
        <w:tab/>
        <w:t xml:space="preserve">Tel.  </w:t>
      </w:r>
      <w:r w:rsidRPr="00D848E3">
        <w:rPr>
          <w:rFonts w:eastAsia="SimSun" w:cs="Calibri"/>
          <w:kern w:val="1"/>
          <w:lang w:eastAsia="hi-IN" w:bidi="hi-IN"/>
        </w:rPr>
        <w:t>03 240 61 70</w:t>
      </w:r>
    </w:p>
    <w:p w:rsidR="00793B24" w:rsidRDefault="00484ACA" w:rsidP="00357DEB">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eastAsia="SimSun" w:cs="Calibri"/>
          <w:color w:val="0000FF"/>
          <w:kern w:val="1"/>
          <w:u w:val="single"/>
          <w:lang w:val="de-DE" w:eastAsia="hi-IN" w:bidi="hi-IN"/>
        </w:rPr>
      </w:pPr>
      <w:proofErr w:type="spellStart"/>
      <w:r w:rsidRPr="00484ACA">
        <w:rPr>
          <w:rFonts w:eastAsia="SimSun" w:cs="Calibri"/>
          <w:color w:val="000000"/>
          <w:kern w:val="1"/>
          <w:lang w:val="de-DE" w:eastAsia="hi-IN" w:bidi="hi-IN"/>
        </w:rPr>
        <w:t>e-mail</w:t>
      </w:r>
      <w:proofErr w:type="spellEnd"/>
      <w:r w:rsidRPr="00484ACA">
        <w:rPr>
          <w:rFonts w:eastAsia="SimSun" w:cs="Calibri"/>
          <w:color w:val="000000"/>
          <w:kern w:val="1"/>
          <w:lang w:val="de-DE" w:eastAsia="hi-IN" w:bidi="hi-IN"/>
        </w:rPr>
        <w:t xml:space="preserve">: </w:t>
      </w:r>
      <w:hyperlink r:id="rId11" w:history="1">
        <w:r w:rsidR="008A623C" w:rsidRPr="00192AC1">
          <w:rPr>
            <w:rStyle w:val="Hyperlink"/>
            <w:rFonts w:eastAsia="SimSun" w:cs="Calibri"/>
            <w:kern w:val="1"/>
            <w:lang w:val="de-DE" w:eastAsia="hi-IN" w:bidi="hi-IN"/>
          </w:rPr>
          <w:t>ssp@provincieantwerpen.be</w:t>
        </w:r>
      </w:hyperlink>
    </w:p>
    <w:p w:rsidR="00484ACA" w:rsidRPr="00484ACA" w:rsidRDefault="00793B24" w:rsidP="00357DEB">
      <w:pPr>
        <w:widowControl w:val="0"/>
        <w:pBdr>
          <w:top w:val="single" w:sz="2" w:space="1" w:color="auto"/>
          <w:left w:val="single" w:sz="2" w:space="4" w:color="auto"/>
          <w:bottom w:val="single" w:sz="2" w:space="1" w:color="auto"/>
          <w:right w:val="single" w:sz="2" w:space="0" w:color="auto"/>
        </w:pBdr>
        <w:suppressAutoHyphens/>
        <w:spacing w:after="0" w:line="300" w:lineRule="auto"/>
        <w:ind w:left="227" w:right="227"/>
        <w:rPr>
          <w:rFonts w:ascii="Verdana" w:eastAsia="SimSun" w:hAnsi="Verdana" w:cs="Mangal"/>
          <w:b/>
          <w:bCs/>
          <w:kern w:val="1"/>
          <w:sz w:val="20"/>
          <w:szCs w:val="20"/>
          <w:lang w:val="de-DE" w:eastAsia="hi-IN" w:bidi="hi-IN"/>
        </w:rPr>
      </w:pPr>
      <w:proofErr w:type="spellStart"/>
      <w:r w:rsidRPr="00793B24">
        <w:rPr>
          <w:rFonts w:eastAsia="SimSun" w:cs="Calibri"/>
          <w:kern w:val="1"/>
          <w:lang w:val="de-DE" w:eastAsia="hi-IN" w:bidi="hi-IN"/>
        </w:rPr>
        <w:t>website</w:t>
      </w:r>
      <w:proofErr w:type="spellEnd"/>
      <w:r>
        <w:rPr>
          <w:rFonts w:eastAsia="SimSun" w:cs="Calibri"/>
          <w:color w:val="000000"/>
          <w:kern w:val="1"/>
          <w:lang w:val="de-DE" w:eastAsia="hi-IN" w:bidi="hi-IN"/>
        </w:rPr>
        <w:t xml:space="preserve">: </w:t>
      </w:r>
      <w:r w:rsidR="00484ACA" w:rsidRPr="00793B24">
        <w:rPr>
          <w:rFonts w:eastAsia="SimSun" w:cs="Calibri"/>
          <w:color w:val="3333FF"/>
          <w:kern w:val="1"/>
          <w:lang w:val="de-DE" w:eastAsia="hi-IN" w:bidi="hi-IN"/>
        </w:rPr>
        <w:t xml:space="preserve"> </w:t>
      </w:r>
      <w:hyperlink r:id="rId12" w:history="1">
        <w:r w:rsidRPr="00793B24">
          <w:rPr>
            <w:rStyle w:val="Hyperlink"/>
            <w:rFonts w:eastAsia="SimSun" w:cs="Calibri"/>
            <w:color w:val="3333FF"/>
            <w:kern w:val="1"/>
            <w:lang w:val="de-DE" w:eastAsia="hi-IN" w:bidi="hi-IN"/>
          </w:rPr>
          <w:t xml:space="preserve">www.provincieantwerpen.be - </w:t>
        </w:r>
        <w:proofErr w:type="spellStart"/>
        <w:r w:rsidRPr="00793B24">
          <w:rPr>
            <w:rStyle w:val="Hyperlink"/>
            <w:rFonts w:eastAsia="SimSun" w:cs="Calibri"/>
            <w:color w:val="3333FF"/>
            <w:kern w:val="1"/>
            <w:lang w:val="de-DE" w:eastAsia="hi-IN" w:bidi="hi-IN"/>
          </w:rPr>
          <w:t>welzijn</w:t>
        </w:r>
        <w:proofErr w:type="spellEnd"/>
        <w:r w:rsidRPr="00793B24">
          <w:rPr>
            <w:rStyle w:val="Hyperlink"/>
            <w:rFonts w:eastAsia="SimSun" w:cs="Calibri"/>
            <w:color w:val="3333FF"/>
            <w:kern w:val="1"/>
            <w:lang w:val="de-DE" w:eastAsia="hi-IN" w:bidi="hi-IN"/>
          </w:rPr>
          <w:t>-en-</w:t>
        </w:r>
        <w:proofErr w:type="spellStart"/>
        <w:r w:rsidRPr="00793B24">
          <w:rPr>
            <w:rStyle w:val="Hyperlink"/>
            <w:rFonts w:eastAsia="SimSun" w:cs="Calibri"/>
            <w:color w:val="3333FF"/>
            <w:kern w:val="1"/>
            <w:lang w:val="de-DE" w:eastAsia="hi-IN" w:bidi="hi-IN"/>
          </w:rPr>
          <w:t>gezondheid</w:t>
        </w:r>
        <w:proofErr w:type="spellEnd"/>
        <w:r w:rsidRPr="00793B24">
          <w:rPr>
            <w:rStyle w:val="Hyperlink"/>
            <w:rFonts w:eastAsia="SimSun" w:cs="Calibri"/>
            <w:color w:val="3333FF"/>
            <w:kern w:val="1"/>
            <w:lang w:val="de-DE" w:eastAsia="hi-IN" w:bidi="hi-IN"/>
          </w:rPr>
          <w:t xml:space="preserve"> - </w:t>
        </w:r>
        <w:proofErr w:type="spellStart"/>
        <w:r w:rsidRPr="00793B24">
          <w:rPr>
            <w:rStyle w:val="Hyperlink"/>
            <w:rFonts w:eastAsia="SimSun" w:cs="Calibri"/>
            <w:color w:val="3333FF"/>
            <w:kern w:val="1"/>
            <w:lang w:val="de-DE" w:eastAsia="hi-IN" w:bidi="hi-IN"/>
          </w:rPr>
          <w:t>omgevingsanalyse</w:t>
        </w:r>
        <w:proofErr w:type="spellEnd"/>
      </w:hyperlink>
      <w:r>
        <w:rPr>
          <w:rFonts w:eastAsia="SimSun" w:cs="Calibri"/>
          <w:color w:val="000000"/>
          <w:kern w:val="1"/>
          <w:lang w:val="de-DE" w:eastAsia="hi-IN" w:bidi="hi-IN"/>
        </w:rPr>
        <w:t xml:space="preserve"> </w:t>
      </w:r>
    </w:p>
    <w:p w:rsidR="00484ACA" w:rsidRPr="00484ACA" w:rsidRDefault="00484ACA" w:rsidP="00484ACA">
      <w:pPr>
        <w:widowControl w:val="0"/>
        <w:suppressAutoHyphens/>
        <w:spacing w:after="0" w:line="288" w:lineRule="auto"/>
        <w:outlineLvl w:val="0"/>
        <w:rPr>
          <w:rFonts w:ascii="Verdana" w:eastAsia="SimSun" w:hAnsi="Verdana" w:cs="Mangal"/>
          <w:b/>
          <w:bCs/>
          <w:kern w:val="1"/>
          <w:sz w:val="20"/>
          <w:szCs w:val="20"/>
          <w:lang w:val="de-DE" w:eastAsia="hi-IN" w:bidi="hi-IN"/>
        </w:rPr>
      </w:pPr>
    </w:p>
    <w:p w:rsidR="00484ACA" w:rsidRPr="00484ACA" w:rsidRDefault="00484ACA" w:rsidP="00484ACA">
      <w:pPr>
        <w:widowControl w:val="0"/>
        <w:suppressAutoHyphens/>
        <w:spacing w:after="0" w:line="288" w:lineRule="auto"/>
        <w:outlineLvl w:val="0"/>
        <w:rPr>
          <w:rFonts w:ascii="Verdana" w:eastAsia="SimSun" w:hAnsi="Verdana" w:cs="Mangal"/>
          <w:b/>
          <w:bCs/>
          <w:kern w:val="1"/>
          <w:sz w:val="20"/>
          <w:szCs w:val="20"/>
          <w:lang w:val="de-DE" w:eastAsia="hi-IN" w:bidi="hi-IN"/>
        </w:rPr>
      </w:pPr>
    </w:p>
    <w:p w:rsidR="00484ACA" w:rsidRPr="00484ACA" w:rsidRDefault="00484ACA" w:rsidP="00484ACA">
      <w:pPr>
        <w:widowControl w:val="0"/>
        <w:suppressAutoHyphens/>
        <w:spacing w:after="0" w:line="288" w:lineRule="auto"/>
        <w:outlineLvl w:val="0"/>
        <w:rPr>
          <w:rFonts w:ascii="Verdana" w:eastAsia="SimSun" w:hAnsi="Verdana" w:cs="Mangal"/>
          <w:b/>
          <w:bCs/>
          <w:kern w:val="1"/>
          <w:sz w:val="20"/>
          <w:szCs w:val="20"/>
          <w:lang w:val="de-DE" w:eastAsia="hi-IN" w:bidi="hi-IN"/>
        </w:rPr>
      </w:pPr>
    </w:p>
    <w:p w:rsidR="00484ACA" w:rsidRPr="00484ACA" w:rsidRDefault="00484ACA" w:rsidP="00484ACA">
      <w:pPr>
        <w:widowControl w:val="0"/>
        <w:suppressAutoHyphens/>
        <w:spacing w:after="0" w:line="288" w:lineRule="auto"/>
        <w:outlineLvl w:val="0"/>
        <w:rPr>
          <w:rFonts w:ascii="Verdana" w:eastAsia="SimSun" w:hAnsi="Verdana" w:cs="Mangal"/>
          <w:b/>
          <w:bCs/>
          <w:kern w:val="1"/>
          <w:sz w:val="20"/>
          <w:szCs w:val="20"/>
          <w:lang w:val="de-DE" w:eastAsia="hi-IN" w:bidi="hi-IN"/>
        </w:rPr>
      </w:pPr>
    </w:p>
    <w:p w:rsidR="00484ACA" w:rsidRPr="00484ACA" w:rsidRDefault="00484ACA" w:rsidP="00484ACA">
      <w:pPr>
        <w:widowControl w:val="0"/>
        <w:suppressAutoHyphens/>
        <w:spacing w:after="0" w:line="288" w:lineRule="auto"/>
        <w:outlineLvl w:val="0"/>
        <w:rPr>
          <w:rFonts w:ascii="Verdana" w:eastAsia="SimSun" w:hAnsi="Verdana" w:cs="Mangal"/>
          <w:b/>
          <w:bCs/>
          <w:kern w:val="1"/>
          <w:sz w:val="20"/>
          <w:szCs w:val="20"/>
          <w:lang w:val="de-DE" w:eastAsia="hi-IN" w:bidi="hi-IN"/>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
        <w:gridCol w:w="6438"/>
        <w:gridCol w:w="1999"/>
      </w:tblGrid>
      <w:tr w:rsidR="00484ACA" w:rsidRPr="00484ACA" w:rsidTr="007B0CC9">
        <w:tc>
          <w:tcPr>
            <w:tcW w:w="6790" w:type="dxa"/>
            <w:gridSpan w:val="2"/>
            <w:tcBorders>
              <w:bottom w:val="nil"/>
              <w:right w:val="nil"/>
            </w:tcBorders>
            <w:shd w:val="clear" w:color="auto" w:fill="auto"/>
          </w:tcPr>
          <w:p w:rsidR="00484ACA" w:rsidRPr="00484ACA" w:rsidRDefault="00484ACA" w:rsidP="00484ACA">
            <w:pPr>
              <w:widowControl w:val="0"/>
              <w:suppressAutoHyphens/>
              <w:spacing w:after="0" w:line="288" w:lineRule="auto"/>
              <w:rPr>
                <w:rFonts w:eastAsia="SimSun" w:cs="Calibri"/>
                <w:b/>
                <w:kern w:val="1"/>
                <w:sz w:val="20"/>
                <w:szCs w:val="20"/>
                <w:lang w:val="fr-FR" w:eastAsia="hi-IN" w:bidi="hi-IN"/>
              </w:rPr>
            </w:pPr>
            <w:r w:rsidRPr="00484ACA">
              <w:rPr>
                <w:rFonts w:eastAsia="SimSun" w:cs="Calibri"/>
                <w:b/>
                <w:kern w:val="1"/>
                <w:sz w:val="20"/>
                <w:szCs w:val="20"/>
                <w:lang w:val="fr-FR" w:eastAsia="hi-IN" w:bidi="hi-IN"/>
              </w:rPr>
              <w:t>INHOUD</w:t>
            </w:r>
          </w:p>
        </w:tc>
        <w:tc>
          <w:tcPr>
            <w:tcW w:w="1999" w:type="dxa"/>
            <w:tcBorders>
              <w:left w:val="nil"/>
              <w:bottom w:val="nil"/>
            </w:tcBorders>
            <w:shd w:val="clear" w:color="auto" w:fill="auto"/>
          </w:tcPr>
          <w:p w:rsidR="00484ACA" w:rsidRPr="00484ACA" w:rsidRDefault="00484ACA" w:rsidP="00484ACA">
            <w:pPr>
              <w:widowControl w:val="0"/>
              <w:suppressAutoHyphens/>
              <w:spacing w:after="0" w:line="288" w:lineRule="auto"/>
              <w:jc w:val="center"/>
              <w:rPr>
                <w:rFonts w:ascii="Verdana" w:eastAsia="SimSun" w:hAnsi="Verdana" w:cs="Tahoma"/>
                <w:kern w:val="1"/>
                <w:sz w:val="20"/>
                <w:szCs w:val="20"/>
                <w:lang w:val="fr-FR" w:eastAsia="hi-IN" w:bidi="hi-IN"/>
              </w:rPr>
            </w:pPr>
          </w:p>
        </w:tc>
      </w:tr>
      <w:tr w:rsidR="00484ACA" w:rsidRPr="00484ACA" w:rsidTr="007B0CC9">
        <w:tc>
          <w:tcPr>
            <w:tcW w:w="6790" w:type="dxa"/>
            <w:gridSpan w:val="2"/>
            <w:tcBorders>
              <w:top w:val="nil"/>
              <w:bottom w:val="single" w:sz="4" w:space="0" w:color="auto"/>
              <w:right w:val="nil"/>
            </w:tcBorders>
            <w:shd w:val="clear" w:color="auto" w:fill="auto"/>
          </w:tcPr>
          <w:p w:rsidR="00484ACA" w:rsidRPr="00484ACA" w:rsidRDefault="00484ACA" w:rsidP="00484ACA">
            <w:pPr>
              <w:widowControl w:val="0"/>
              <w:suppressAutoHyphens/>
              <w:spacing w:after="0" w:line="288" w:lineRule="auto"/>
              <w:rPr>
                <w:rFonts w:ascii="Verdana" w:eastAsia="SimSun" w:hAnsi="Verdana" w:cs="Tahoma"/>
                <w:kern w:val="1"/>
                <w:sz w:val="20"/>
                <w:szCs w:val="20"/>
                <w:lang w:val="fr-FR" w:eastAsia="hi-IN" w:bidi="hi-IN"/>
              </w:rPr>
            </w:pPr>
          </w:p>
        </w:tc>
        <w:tc>
          <w:tcPr>
            <w:tcW w:w="1999" w:type="dxa"/>
            <w:tcBorders>
              <w:top w:val="nil"/>
              <w:left w:val="nil"/>
              <w:bottom w:val="single" w:sz="4" w:space="0" w:color="auto"/>
            </w:tcBorders>
            <w:shd w:val="clear" w:color="auto" w:fill="auto"/>
          </w:tcPr>
          <w:p w:rsidR="00484ACA" w:rsidRPr="00484ACA" w:rsidRDefault="00484ACA" w:rsidP="00484ACA">
            <w:pPr>
              <w:widowControl w:val="0"/>
              <w:suppressAutoHyphens/>
              <w:spacing w:after="0" w:line="288" w:lineRule="auto"/>
              <w:jc w:val="center"/>
              <w:rPr>
                <w:rFonts w:ascii="Verdana" w:eastAsia="SimSun" w:hAnsi="Verdana" w:cs="Tahoma"/>
                <w:kern w:val="1"/>
                <w:sz w:val="20"/>
                <w:szCs w:val="20"/>
                <w:lang w:val="fr-FR" w:eastAsia="hi-IN" w:bidi="hi-IN"/>
              </w:rPr>
            </w:pPr>
          </w:p>
        </w:tc>
      </w:tr>
      <w:tr w:rsidR="00484ACA" w:rsidRPr="00484ACA" w:rsidTr="007B0CC9">
        <w:tc>
          <w:tcPr>
            <w:tcW w:w="6790" w:type="dxa"/>
            <w:gridSpan w:val="2"/>
            <w:tcBorders>
              <w:top w:val="single" w:sz="4" w:space="0" w:color="auto"/>
              <w:bottom w:val="nil"/>
              <w:right w:val="nil"/>
            </w:tcBorders>
            <w:shd w:val="clear" w:color="auto" w:fill="auto"/>
          </w:tcPr>
          <w:p w:rsidR="00484ACA" w:rsidRPr="00484ACA" w:rsidRDefault="00484ACA" w:rsidP="00484ACA">
            <w:pPr>
              <w:widowControl w:val="0"/>
              <w:suppressAutoHyphens/>
              <w:spacing w:after="0" w:line="288" w:lineRule="auto"/>
              <w:rPr>
                <w:rFonts w:eastAsia="SimSun" w:cs="Calibri"/>
                <w:kern w:val="1"/>
                <w:lang w:val="fr-FR" w:eastAsia="hi-IN" w:bidi="hi-IN"/>
              </w:rPr>
            </w:pPr>
          </w:p>
          <w:p w:rsidR="00484ACA" w:rsidRPr="00484ACA" w:rsidRDefault="00484ACA" w:rsidP="00484ACA">
            <w:pPr>
              <w:widowControl w:val="0"/>
              <w:suppressAutoHyphens/>
              <w:spacing w:after="0" w:line="288" w:lineRule="auto"/>
              <w:rPr>
                <w:rFonts w:eastAsia="SimSun" w:cs="Calibri"/>
                <w:kern w:val="1"/>
                <w:lang w:val="fr-FR" w:eastAsia="hi-IN" w:bidi="hi-IN"/>
              </w:rPr>
            </w:pPr>
            <w:proofErr w:type="spellStart"/>
            <w:r w:rsidRPr="00484ACA">
              <w:rPr>
                <w:rFonts w:eastAsia="SimSun" w:cs="Calibri"/>
                <w:kern w:val="1"/>
                <w:lang w:val="fr-FR" w:eastAsia="hi-IN" w:bidi="hi-IN"/>
              </w:rPr>
              <w:t>Inleiding</w:t>
            </w:r>
            <w:proofErr w:type="spellEnd"/>
          </w:p>
        </w:tc>
        <w:tc>
          <w:tcPr>
            <w:tcW w:w="1999" w:type="dxa"/>
            <w:tcBorders>
              <w:top w:val="single" w:sz="4" w:space="0" w:color="auto"/>
              <w:left w:val="nil"/>
              <w:bottom w:val="nil"/>
            </w:tcBorders>
            <w:shd w:val="clear" w:color="auto" w:fill="auto"/>
          </w:tcPr>
          <w:p w:rsidR="00484ACA" w:rsidRPr="00484ACA" w:rsidRDefault="00484ACA" w:rsidP="00484ACA">
            <w:pPr>
              <w:widowControl w:val="0"/>
              <w:suppressAutoHyphens/>
              <w:spacing w:after="0" w:line="288" w:lineRule="auto"/>
              <w:jc w:val="center"/>
              <w:rPr>
                <w:rFonts w:eastAsia="SimSun" w:cs="Calibri"/>
                <w:kern w:val="1"/>
                <w:lang w:val="fr-FR" w:eastAsia="hi-IN" w:bidi="hi-IN"/>
              </w:rPr>
            </w:pPr>
          </w:p>
        </w:tc>
      </w:tr>
      <w:tr w:rsidR="00484ACA" w:rsidRPr="00484ACA" w:rsidTr="007B0CC9">
        <w:tc>
          <w:tcPr>
            <w:tcW w:w="352" w:type="dxa"/>
            <w:tcBorders>
              <w:top w:val="nil"/>
              <w:bottom w:val="nil"/>
              <w:right w:val="nil"/>
            </w:tcBorders>
            <w:shd w:val="clear" w:color="auto" w:fill="auto"/>
          </w:tcPr>
          <w:p w:rsidR="00484ACA" w:rsidRPr="00484ACA" w:rsidRDefault="00484ACA" w:rsidP="00484ACA">
            <w:pPr>
              <w:widowControl w:val="0"/>
              <w:suppressAutoHyphens/>
              <w:spacing w:before="120" w:after="0" w:line="288" w:lineRule="auto"/>
              <w:rPr>
                <w:rFonts w:ascii="Verdana" w:eastAsia="SimSun" w:hAnsi="Verdana" w:cs="Tahoma"/>
                <w:kern w:val="1"/>
                <w:sz w:val="20"/>
                <w:szCs w:val="20"/>
                <w:lang w:val="fr-FR" w:eastAsia="hi-IN" w:bidi="hi-IN"/>
              </w:rPr>
            </w:pPr>
            <w:r w:rsidRPr="00484ACA">
              <w:rPr>
                <w:rFonts w:ascii="Verdana" w:eastAsia="SimSun" w:hAnsi="Verdana" w:cs="Tahoma"/>
                <w:kern w:val="1"/>
                <w:sz w:val="20"/>
                <w:szCs w:val="20"/>
                <w:lang w:val="fr-FR" w:eastAsia="hi-IN" w:bidi="hi-IN"/>
              </w:rPr>
              <w:t>1</w:t>
            </w:r>
          </w:p>
        </w:tc>
        <w:tc>
          <w:tcPr>
            <w:tcW w:w="6438" w:type="dxa"/>
            <w:tcBorders>
              <w:top w:val="nil"/>
              <w:left w:val="nil"/>
              <w:bottom w:val="nil"/>
              <w:right w:val="nil"/>
            </w:tcBorders>
            <w:shd w:val="clear" w:color="auto" w:fill="auto"/>
          </w:tcPr>
          <w:p w:rsidR="00484ACA" w:rsidRPr="00484ACA" w:rsidRDefault="004B333B" w:rsidP="004B333B">
            <w:pPr>
              <w:widowControl w:val="0"/>
              <w:suppressAutoHyphens/>
              <w:spacing w:before="120" w:after="0" w:line="288" w:lineRule="auto"/>
              <w:rPr>
                <w:rFonts w:eastAsia="SimSun" w:cs="Calibri"/>
                <w:kern w:val="1"/>
                <w:lang w:eastAsia="hi-IN" w:bidi="hi-IN"/>
              </w:rPr>
            </w:pPr>
            <w:r>
              <w:rPr>
                <w:rFonts w:eastAsia="SimSun" w:cs="Calibri"/>
                <w:kern w:val="1"/>
                <w:lang w:eastAsia="hi-IN" w:bidi="hi-IN"/>
              </w:rPr>
              <w:t>Bevolking op actieve leeftijd (de 20-59 jarigen)</w:t>
            </w:r>
          </w:p>
        </w:tc>
        <w:tc>
          <w:tcPr>
            <w:tcW w:w="1999" w:type="dxa"/>
            <w:tcBorders>
              <w:top w:val="nil"/>
              <w:left w:val="nil"/>
              <w:bottom w:val="nil"/>
            </w:tcBorders>
            <w:shd w:val="clear" w:color="auto" w:fill="auto"/>
          </w:tcPr>
          <w:p w:rsidR="00484ACA" w:rsidRPr="00484ACA" w:rsidRDefault="00D70780" w:rsidP="00D70780">
            <w:pPr>
              <w:widowControl w:val="0"/>
              <w:suppressAutoHyphens/>
              <w:spacing w:before="120" w:after="0" w:line="288" w:lineRule="auto"/>
              <w:jc w:val="center"/>
              <w:rPr>
                <w:rFonts w:eastAsia="SimSun" w:cs="Calibri"/>
                <w:color w:val="000000"/>
                <w:kern w:val="1"/>
                <w:lang w:eastAsia="hi-IN" w:bidi="hi-IN"/>
              </w:rPr>
            </w:pPr>
            <w:r>
              <w:rPr>
                <w:rFonts w:eastAsia="SimSun" w:cs="Calibri"/>
                <w:color w:val="000000"/>
                <w:kern w:val="1"/>
                <w:lang w:eastAsia="hi-IN" w:bidi="hi-IN"/>
              </w:rPr>
              <w:t>4</w:t>
            </w:r>
          </w:p>
        </w:tc>
      </w:tr>
      <w:tr w:rsidR="00484ACA" w:rsidRPr="00484ACA" w:rsidTr="007B0CC9">
        <w:tc>
          <w:tcPr>
            <w:tcW w:w="352" w:type="dxa"/>
            <w:tcBorders>
              <w:top w:val="nil"/>
              <w:bottom w:val="nil"/>
              <w:right w:val="nil"/>
            </w:tcBorders>
            <w:shd w:val="clear" w:color="auto" w:fill="auto"/>
          </w:tcPr>
          <w:p w:rsidR="00484ACA" w:rsidRPr="00484ACA" w:rsidRDefault="00484ACA" w:rsidP="00484ACA">
            <w:pPr>
              <w:widowControl w:val="0"/>
              <w:suppressAutoHyphens/>
              <w:spacing w:before="120" w:after="0" w:line="288" w:lineRule="auto"/>
              <w:rPr>
                <w:rFonts w:ascii="Verdana" w:eastAsia="SimSun" w:hAnsi="Verdana" w:cs="Tahoma"/>
                <w:kern w:val="1"/>
                <w:sz w:val="20"/>
                <w:szCs w:val="20"/>
                <w:lang w:val="fr-FR" w:eastAsia="hi-IN" w:bidi="hi-IN"/>
              </w:rPr>
            </w:pPr>
            <w:r w:rsidRPr="00484ACA">
              <w:rPr>
                <w:rFonts w:ascii="Verdana" w:eastAsia="SimSun" w:hAnsi="Verdana" w:cs="Tahoma"/>
                <w:kern w:val="1"/>
                <w:sz w:val="20"/>
                <w:szCs w:val="20"/>
                <w:lang w:val="fr-FR" w:eastAsia="hi-IN" w:bidi="hi-IN"/>
              </w:rPr>
              <w:t>2</w:t>
            </w:r>
          </w:p>
        </w:tc>
        <w:tc>
          <w:tcPr>
            <w:tcW w:w="6438" w:type="dxa"/>
            <w:tcBorders>
              <w:top w:val="nil"/>
              <w:left w:val="nil"/>
              <w:bottom w:val="nil"/>
              <w:right w:val="nil"/>
            </w:tcBorders>
            <w:shd w:val="clear" w:color="auto" w:fill="auto"/>
          </w:tcPr>
          <w:p w:rsidR="00484ACA" w:rsidRPr="00484ACA" w:rsidRDefault="004B333B" w:rsidP="004B333B">
            <w:pPr>
              <w:widowControl w:val="0"/>
              <w:suppressAutoHyphens/>
              <w:spacing w:before="120" w:after="0" w:line="288" w:lineRule="auto"/>
              <w:rPr>
                <w:rFonts w:eastAsia="SimSun" w:cs="Calibri"/>
                <w:kern w:val="1"/>
                <w:lang w:eastAsia="hi-IN" w:bidi="hi-IN"/>
              </w:rPr>
            </w:pPr>
            <w:r>
              <w:rPr>
                <w:rFonts w:eastAsia="SimSun" w:cs="Calibri"/>
                <w:kern w:val="1"/>
                <w:lang w:eastAsia="hi-IN" w:bidi="hi-IN"/>
              </w:rPr>
              <w:t>Jongeren (0-19 jaar)</w:t>
            </w:r>
          </w:p>
        </w:tc>
        <w:tc>
          <w:tcPr>
            <w:tcW w:w="1999" w:type="dxa"/>
            <w:tcBorders>
              <w:top w:val="nil"/>
              <w:left w:val="nil"/>
              <w:bottom w:val="nil"/>
            </w:tcBorders>
            <w:shd w:val="clear" w:color="auto" w:fill="auto"/>
          </w:tcPr>
          <w:p w:rsidR="00484ACA" w:rsidRPr="00484ACA" w:rsidRDefault="004B333B" w:rsidP="004B333B">
            <w:pPr>
              <w:widowControl w:val="0"/>
              <w:suppressAutoHyphens/>
              <w:spacing w:before="120" w:after="0" w:line="288" w:lineRule="auto"/>
              <w:jc w:val="center"/>
              <w:rPr>
                <w:rFonts w:eastAsia="SimSun" w:cs="Calibri"/>
                <w:color w:val="000000"/>
                <w:kern w:val="1"/>
                <w:lang w:val="fr-FR" w:eastAsia="hi-IN" w:bidi="hi-IN"/>
              </w:rPr>
            </w:pPr>
            <w:r>
              <w:rPr>
                <w:rFonts w:eastAsia="SimSun" w:cs="Calibri"/>
                <w:color w:val="000000"/>
                <w:kern w:val="1"/>
                <w:lang w:val="fr-FR" w:eastAsia="hi-IN" w:bidi="hi-IN"/>
              </w:rPr>
              <w:t>11</w:t>
            </w:r>
          </w:p>
        </w:tc>
      </w:tr>
      <w:tr w:rsidR="00484ACA" w:rsidRPr="00484ACA" w:rsidTr="007B0CC9">
        <w:tc>
          <w:tcPr>
            <w:tcW w:w="352" w:type="dxa"/>
            <w:tcBorders>
              <w:top w:val="nil"/>
              <w:bottom w:val="nil"/>
              <w:right w:val="nil"/>
            </w:tcBorders>
            <w:shd w:val="clear" w:color="auto" w:fill="auto"/>
          </w:tcPr>
          <w:p w:rsidR="00484ACA" w:rsidRPr="00484ACA" w:rsidRDefault="00484ACA" w:rsidP="00484ACA">
            <w:pPr>
              <w:widowControl w:val="0"/>
              <w:suppressAutoHyphens/>
              <w:spacing w:before="120" w:after="0" w:line="240" w:lineRule="auto"/>
              <w:rPr>
                <w:rFonts w:ascii="Verdana" w:eastAsia="SimSun" w:hAnsi="Verdana" w:cs="Tahoma"/>
                <w:kern w:val="1"/>
                <w:sz w:val="20"/>
                <w:szCs w:val="20"/>
                <w:lang w:val="fr-FR" w:eastAsia="hi-IN" w:bidi="hi-IN"/>
              </w:rPr>
            </w:pPr>
            <w:r w:rsidRPr="00484ACA">
              <w:rPr>
                <w:rFonts w:ascii="Verdana" w:eastAsia="SimSun" w:hAnsi="Verdana" w:cs="Tahoma"/>
                <w:kern w:val="1"/>
                <w:sz w:val="20"/>
                <w:szCs w:val="20"/>
                <w:lang w:val="fr-FR" w:eastAsia="hi-IN" w:bidi="hi-IN"/>
              </w:rPr>
              <w:t>3</w:t>
            </w:r>
          </w:p>
        </w:tc>
        <w:tc>
          <w:tcPr>
            <w:tcW w:w="6438" w:type="dxa"/>
            <w:tcBorders>
              <w:top w:val="nil"/>
              <w:left w:val="nil"/>
              <w:bottom w:val="nil"/>
              <w:right w:val="nil"/>
            </w:tcBorders>
            <w:shd w:val="clear" w:color="auto" w:fill="auto"/>
          </w:tcPr>
          <w:p w:rsidR="00484ACA" w:rsidRPr="00484ACA" w:rsidRDefault="004B333B" w:rsidP="005C707D">
            <w:pPr>
              <w:widowControl w:val="0"/>
              <w:suppressAutoHyphens/>
              <w:spacing w:before="120" w:after="0" w:line="240" w:lineRule="auto"/>
              <w:rPr>
                <w:rFonts w:eastAsia="SimSun" w:cs="Calibri"/>
                <w:kern w:val="1"/>
                <w:lang w:eastAsia="hi-IN" w:bidi="hi-IN"/>
              </w:rPr>
            </w:pPr>
            <w:r>
              <w:rPr>
                <w:rFonts w:eastAsia="SimSun" w:cs="Calibri"/>
                <w:kern w:val="1"/>
                <w:lang w:eastAsia="hi-IN" w:bidi="hi-IN"/>
              </w:rPr>
              <w:t>Bevolking op pensioenleeftijd</w:t>
            </w:r>
          </w:p>
        </w:tc>
        <w:tc>
          <w:tcPr>
            <w:tcW w:w="1999" w:type="dxa"/>
            <w:tcBorders>
              <w:top w:val="nil"/>
              <w:left w:val="nil"/>
              <w:bottom w:val="nil"/>
            </w:tcBorders>
            <w:shd w:val="clear" w:color="auto" w:fill="auto"/>
          </w:tcPr>
          <w:p w:rsidR="00484ACA" w:rsidRPr="00484ACA" w:rsidRDefault="005C707D" w:rsidP="005C707D">
            <w:pPr>
              <w:widowControl w:val="0"/>
              <w:suppressAutoHyphens/>
              <w:spacing w:before="120" w:after="0" w:line="240" w:lineRule="auto"/>
              <w:jc w:val="center"/>
              <w:rPr>
                <w:rFonts w:eastAsia="SimSun" w:cs="Calibri"/>
                <w:color w:val="000000"/>
                <w:kern w:val="1"/>
                <w:lang w:eastAsia="hi-IN" w:bidi="hi-IN"/>
              </w:rPr>
            </w:pPr>
            <w:r>
              <w:rPr>
                <w:rFonts w:eastAsia="SimSun" w:cs="Calibri"/>
                <w:color w:val="000000"/>
                <w:kern w:val="1"/>
                <w:lang w:eastAsia="hi-IN" w:bidi="hi-IN"/>
              </w:rPr>
              <w:t>19</w:t>
            </w:r>
          </w:p>
        </w:tc>
      </w:tr>
      <w:tr w:rsidR="00484ACA" w:rsidRPr="00484ACA" w:rsidTr="007B0CC9">
        <w:tc>
          <w:tcPr>
            <w:tcW w:w="352" w:type="dxa"/>
            <w:tcBorders>
              <w:top w:val="nil"/>
              <w:bottom w:val="nil"/>
              <w:right w:val="nil"/>
            </w:tcBorders>
            <w:shd w:val="clear" w:color="auto" w:fill="auto"/>
          </w:tcPr>
          <w:p w:rsidR="00484ACA" w:rsidRPr="00484ACA" w:rsidRDefault="00484ACA" w:rsidP="00484ACA">
            <w:pPr>
              <w:widowControl w:val="0"/>
              <w:suppressAutoHyphens/>
              <w:spacing w:before="120" w:after="0" w:line="240" w:lineRule="auto"/>
              <w:rPr>
                <w:rFonts w:ascii="Verdana" w:eastAsia="SimSun" w:hAnsi="Verdana" w:cs="Tahoma"/>
                <w:kern w:val="1"/>
                <w:sz w:val="20"/>
                <w:szCs w:val="20"/>
                <w:lang w:val="fr-FR" w:eastAsia="hi-IN" w:bidi="hi-IN"/>
              </w:rPr>
            </w:pPr>
            <w:r w:rsidRPr="00484ACA">
              <w:rPr>
                <w:rFonts w:ascii="Verdana" w:eastAsia="SimSun" w:hAnsi="Verdana" w:cs="Tahoma"/>
                <w:kern w:val="1"/>
                <w:sz w:val="20"/>
                <w:szCs w:val="20"/>
                <w:lang w:val="fr-FR" w:eastAsia="hi-IN" w:bidi="hi-IN"/>
              </w:rPr>
              <w:t>4</w:t>
            </w:r>
          </w:p>
        </w:tc>
        <w:tc>
          <w:tcPr>
            <w:tcW w:w="6438" w:type="dxa"/>
            <w:tcBorders>
              <w:top w:val="nil"/>
              <w:left w:val="nil"/>
              <w:bottom w:val="nil"/>
              <w:right w:val="nil"/>
            </w:tcBorders>
            <w:shd w:val="clear" w:color="auto" w:fill="auto"/>
          </w:tcPr>
          <w:p w:rsidR="00484ACA" w:rsidRPr="00484ACA" w:rsidRDefault="005C707D" w:rsidP="005C707D">
            <w:pPr>
              <w:widowControl w:val="0"/>
              <w:suppressAutoHyphens/>
              <w:spacing w:before="120" w:after="0" w:line="240" w:lineRule="auto"/>
              <w:rPr>
                <w:rFonts w:eastAsia="SimSun" w:cs="Calibri"/>
                <w:kern w:val="1"/>
                <w:lang w:eastAsia="hi-IN" w:bidi="hi-IN"/>
              </w:rPr>
            </w:pPr>
            <w:r>
              <w:rPr>
                <w:rFonts w:eastAsia="SimSun" w:cs="Calibri"/>
                <w:kern w:val="1"/>
                <w:lang w:eastAsia="hi-IN" w:bidi="hi-IN"/>
              </w:rPr>
              <w:t>Totale bevolking</w:t>
            </w:r>
          </w:p>
        </w:tc>
        <w:tc>
          <w:tcPr>
            <w:tcW w:w="1999" w:type="dxa"/>
            <w:tcBorders>
              <w:top w:val="nil"/>
              <w:left w:val="nil"/>
              <w:bottom w:val="nil"/>
            </w:tcBorders>
            <w:shd w:val="clear" w:color="auto" w:fill="auto"/>
          </w:tcPr>
          <w:p w:rsidR="00484ACA" w:rsidRPr="00484ACA" w:rsidRDefault="005C707D" w:rsidP="005C707D">
            <w:pPr>
              <w:widowControl w:val="0"/>
              <w:suppressAutoHyphens/>
              <w:spacing w:before="120" w:after="0" w:line="240" w:lineRule="auto"/>
              <w:jc w:val="center"/>
              <w:rPr>
                <w:rFonts w:eastAsia="SimSun" w:cs="Calibri"/>
                <w:color w:val="000000"/>
                <w:kern w:val="1"/>
                <w:lang w:eastAsia="hi-IN" w:bidi="hi-IN"/>
              </w:rPr>
            </w:pPr>
            <w:r>
              <w:rPr>
                <w:rFonts w:eastAsia="SimSun" w:cs="Calibri"/>
                <w:color w:val="000000"/>
                <w:kern w:val="1"/>
                <w:lang w:eastAsia="hi-IN" w:bidi="hi-IN"/>
              </w:rPr>
              <w:t>25</w:t>
            </w:r>
          </w:p>
        </w:tc>
      </w:tr>
      <w:tr w:rsidR="00484ACA" w:rsidRPr="00484ACA" w:rsidTr="007B0CC9">
        <w:tc>
          <w:tcPr>
            <w:tcW w:w="6790" w:type="dxa"/>
            <w:gridSpan w:val="2"/>
            <w:tcBorders>
              <w:top w:val="nil"/>
              <w:bottom w:val="nil"/>
              <w:right w:val="nil"/>
            </w:tcBorders>
            <w:shd w:val="clear" w:color="auto" w:fill="auto"/>
          </w:tcPr>
          <w:p w:rsidR="00484ACA" w:rsidRPr="00D70780" w:rsidRDefault="006D1A83" w:rsidP="006D1A83">
            <w:pPr>
              <w:widowControl w:val="0"/>
              <w:suppressAutoHyphens/>
              <w:spacing w:before="120" w:after="0" w:line="288" w:lineRule="auto"/>
              <w:rPr>
                <w:rFonts w:eastAsia="SimSun" w:cs="Calibri"/>
                <w:color w:val="FF0000"/>
                <w:kern w:val="1"/>
                <w:lang w:eastAsia="hi-IN" w:bidi="hi-IN"/>
              </w:rPr>
            </w:pPr>
            <w:r w:rsidRPr="006D1A83">
              <w:rPr>
                <w:rFonts w:eastAsia="SimSun" w:cs="Calibri"/>
                <w:kern w:val="1"/>
                <w:lang w:eastAsia="hi-IN" w:bidi="hi-IN"/>
              </w:rPr>
              <w:t>Synthese</w:t>
            </w:r>
          </w:p>
        </w:tc>
        <w:tc>
          <w:tcPr>
            <w:tcW w:w="1999" w:type="dxa"/>
            <w:tcBorders>
              <w:top w:val="nil"/>
              <w:left w:val="nil"/>
              <w:bottom w:val="nil"/>
            </w:tcBorders>
            <w:shd w:val="clear" w:color="auto" w:fill="auto"/>
          </w:tcPr>
          <w:p w:rsidR="00484ACA" w:rsidRPr="00484ACA" w:rsidRDefault="005C707D" w:rsidP="005C707D">
            <w:pPr>
              <w:widowControl w:val="0"/>
              <w:suppressAutoHyphens/>
              <w:spacing w:before="120" w:after="0" w:line="288" w:lineRule="auto"/>
              <w:jc w:val="center"/>
              <w:rPr>
                <w:rFonts w:eastAsia="SimSun" w:cs="Calibri"/>
                <w:kern w:val="1"/>
                <w:lang w:eastAsia="hi-IN" w:bidi="hi-IN"/>
              </w:rPr>
            </w:pPr>
            <w:r>
              <w:rPr>
                <w:rFonts w:eastAsia="SimSun" w:cs="Calibri"/>
                <w:kern w:val="1"/>
                <w:lang w:eastAsia="hi-IN" w:bidi="hi-IN"/>
              </w:rPr>
              <w:t>27</w:t>
            </w:r>
          </w:p>
        </w:tc>
      </w:tr>
      <w:tr w:rsidR="00484ACA" w:rsidRPr="00484ACA" w:rsidTr="007B0CC9">
        <w:tc>
          <w:tcPr>
            <w:tcW w:w="6790" w:type="dxa"/>
            <w:gridSpan w:val="2"/>
            <w:tcBorders>
              <w:top w:val="nil"/>
              <w:bottom w:val="nil"/>
              <w:right w:val="nil"/>
            </w:tcBorders>
            <w:shd w:val="clear" w:color="auto" w:fill="auto"/>
          </w:tcPr>
          <w:p w:rsidR="00484ACA" w:rsidRPr="00D70780" w:rsidRDefault="00484ACA" w:rsidP="00484ACA">
            <w:pPr>
              <w:widowControl w:val="0"/>
              <w:suppressAutoHyphens/>
              <w:spacing w:before="120" w:after="0" w:line="288" w:lineRule="auto"/>
              <w:rPr>
                <w:rFonts w:eastAsia="SimSun" w:cs="Calibri"/>
                <w:color w:val="FF0000"/>
                <w:kern w:val="1"/>
                <w:lang w:eastAsia="hi-IN" w:bidi="hi-IN"/>
              </w:rPr>
            </w:pPr>
            <w:r w:rsidRPr="00415219">
              <w:rPr>
                <w:rFonts w:eastAsia="SimSun" w:cs="Calibri"/>
                <w:kern w:val="1"/>
                <w:lang w:eastAsia="hi-IN" w:bidi="hi-IN"/>
              </w:rPr>
              <w:t>Bronnen</w:t>
            </w:r>
          </w:p>
        </w:tc>
        <w:tc>
          <w:tcPr>
            <w:tcW w:w="1999" w:type="dxa"/>
            <w:tcBorders>
              <w:top w:val="nil"/>
              <w:left w:val="nil"/>
              <w:bottom w:val="nil"/>
            </w:tcBorders>
            <w:shd w:val="clear" w:color="auto" w:fill="auto"/>
          </w:tcPr>
          <w:p w:rsidR="00484ACA" w:rsidRPr="00484ACA" w:rsidRDefault="00124EF1" w:rsidP="00124EF1">
            <w:pPr>
              <w:widowControl w:val="0"/>
              <w:suppressAutoHyphens/>
              <w:spacing w:before="120" w:after="0" w:line="288" w:lineRule="auto"/>
              <w:jc w:val="center"/>
              <w:rPr>
                <w:rFonts w:eastAsia="SimSun" w:cs="Calibri"/>
                <w:kern w:val="1"/>
                <w:lang w:eastAsia="hi-IN" w:bidi="hi-IN"/>
              </w:rPr>
            </w:pPr>
            <w:r>
              <w:rPr>
                <w:rFonts w:eastAsia="SimSun" w:cs="Calibri"/>
                <w:kern w:val="1"/>
                <w:lang w:eastAsia="hi-IN" w:bidi="hi-IN"/>
              </w:rPr>
              <w:t>30</w:t>
            </w:r>
          </w:p>
        </w:tc>
      </w:tr>
      <w:tr w:rsidR="00484ACA" w:rsidRPr="00484ACA" w:rsidTr="007B0CC9">
        <w:tc>
          <w:tcPr>
            <w:tcW w:w="6790" w:type="dxa"/>
            <w:gridSpan w:val="2"/>
            <w:tcBorders>
              <w:top w:val="nil"/>
              <w:bottom w:val="single" w:sz="4" w:space="0" w:color="auto"/>
              <w:right w:val="nil"/>
            </w:tcBorders>
            <w:shd w:val="clear" w:color="auto" w:fill="auto"/>
          </w:tcPr>
          <w:p w:rsidR="00484ACA" w:rsidRPr="00484ACA" w:rsidRDefault="00484ACA" w:rsidP="00484ACA">
            <w:pPr>
              <w:widowControl w:val="0"/>
              <w:suppressAutoHyphens/>
              <w:spacing w:before="120" w:after="0" w:line="288" w:lineRule="auto"/>
              <w:rPr>
                <w:rFonts w:eastAsia="SimSun" w:cs="Calibri"/>
                <w:kern w:val="1"/>
                <w:lang w:eastAsia="hi-IN" w:bidi="hi-IN"/>
              </w:rPr>
            </w:pPr>
          </w:p>
        </w:tc>
        <w:tc>
          <w:tcPr>
            <w:tcW w:w="1999" w:type="dxa"/>
            <w:tcBorders>
              <w:top w:val="nil"/>
              <w:left w:val="nil"/>
              <w:bottom w:val="single" w:sz="4" w:space="0" w:color="auto"/>
            </w:tcBorders>
            <w:shd w:val="clear" w:color="auto" w:fill="auto"/>
          </w:tcPr>
          <w:p w:rsidR="00484ACA" w:rsidRPr="00484ACA" w:rsidRDefault="00484ACA" w:rsidP="00484ACA">
            <w:pPr>
              <w:widowControl w:val="0"/>
              <w:suppressAutoHyphens/>
              <w:spacing w:before="120" w:after="0" w:line="288" w:lineRule="auto"/>
              <w:jc w:val="center"/>
              <w:rPr>
                <w:rFonts w:eastAsia="SimSun" w:cs="Calibri"/>
                <w:kern w:val="1"/>
                <w:lang w:eastAsia="hi-IN" w:bidi="hi-IN"/>
              </w:rPr>
            </w:pPr>
          </w:p>
        </w:tc>
      </w:tr>
    </w:tbl>
    <w:p w:rsidR="00AE6A5C" w:rsidRDefault="00AE6A5C">
      <w:pPr>
        <w:spacing w:after="0" w:line="240" w:lineRule="auto"/>
        <w:rPr>
          <w:b/>
          <w:color w:val="C00000"/>
          <w:sz w:val="24"/>
          <w:szCs w:val="24"/>
        </w:rPr>
      </w:pPr>
      <w:r>
        <w:rPr>
          <w:b/>
          <w:color w:val="C00000"/>
          <w:sz w:val="24"/>
          <w:szCs w:val="24"/>
        </w:rPr>
        <w:br w:type="page"/>
      </w:r>
    </w:p>
    <w:p w:rsidR="00B76C0C" w:rsidRDefault="00B76C0C">
      <w:pPr>
        <w:spacing w:after="0" w:line="240" w:lineRule="auto"/>
        <w:rPr>
          <w:b/>
          <w:color w:val="C00000"/>
          <w:sz w:val="24"/>
          <w:szCs w:val="24"/>
        </w:rPr>
      </w:pPr>
      <w:r>
        <w:rPr>
          <w:b/>
          <w:color w:val="C00000"/>
          <w:sz w:val="24"/>
          <w:szCs w:val="24"/>
        </w:rPr>
        <w:lastRenderedPageBreak/>
        <w:t>Inleiding</w:t>
      </w:r>
    </w:p>
    <w:p w:rsidR="00B76C0C" w:rsidRDefault="00B76C0C">
      <w:pPr>
        <w:spacing w:after="0" w:line="240" w:lineRule="auto"/>
        <w:rPr>
          <w:b/>
          <w:color w:val="C00000"/>
          <w:sz w:val="24"/>
          <w:szCs w:val="24"/>
        </w:rPr>
      </w:pPr>
    </w:p>
    <w:p w:rsidR="00603371" w:rsidRDefault="00603371">
      <w:pPr>
        <w:spacing w:after="0" w:line="240" w:lineRule="auto"/>
        <w:rPr>
          <w:b/>
          <w:color w:val="C00000"/>
          <w:sz w:val="24"/>
          <w:szCs w:val="24"/>
        </w:rPr>
      </w:pPr>
    </w:p>
    <w:p w:rsidR="00D003A4" w:rsidRPr="005C45DE" w:rsidRDefault="00A35B4E">
      <w:pPr>
        <w:spacing w:after="0" w:line="240" w:lineRule="auto"/>
      </w:pPr>
      <w:r w:rsidRPr="005C45DE">
        <w:t xml:space="preserve">De Studiedienst van de Vlaamse Regering </w:t>
      </w:r>
      <w:r w:rsidR="00D003A4" w:rsidRPr="005C45DE">
        <w:t xml:space="preserve">(SVR) </w:t>
      </w:r>
      <w:r w:rsidRPr="005C45DE">
        <w:t xml:space="preserve">maakt regelmatig projecties van de bevolking voor de Vlaamse gemeenten. De jongste projectie vertrekt van de situatie op 1 januari 2014 </w:t>
      </w:r>
      <w:r w:rsidR="00D003A4" w:rsidRPr="005C45DE">
        <w:t>en raamt per gemeente het aantal inwoners naar geslacht en leeftijdsjaar en dit voor elk jaar tot 2030.</w:t>
      </w:r>
      <w:r w:rsidR="007728D0">
        <w:rPr>
          <w:rStyle w:val="Voetnootmarkering"/>
        </w:rPr>
        <w:footnoteReference w:id="1"/>
      </w:r>
    </w:p>
    <w:p w:rsidR="00D003A4" w:rsidRPr="005C45DE" w:rsidRDefault="00D003A4">
      <w:pPr>
        <w:spacing w:after="0" w:line="240" w:lineRule="auto"/>
      </w:pPr>
    </w:p>
    <w:p w:rsidR="00603371" w:rsidRDefault="00D003A4" w:rsidP="00603371">
      <w:pPr>
        <w:pStyle w:val="Lijstalinea"/>
        <w:numPr>
          <w:ilvl w:val="0"/>
          <w:numId w:val="37"/>
        </w:numPr>
        <w:spacing w:after="0" w:line="240" w:lineRule="auto"/>
        <w:ind w:left="567" w:hanging="567"/>
      </w:pPr>
      <w:r w:rsidRPr="005C45DE">
        <w:t xml:space="preserve">Bij de voorstelling van die projectie op 29 januari wees SVR erop dat het </w:t>
      </w:r>
      <w:r w:rsidR="008A623C">
        <w:t xml:space="preserve">eerder </w:t>
      </w:r>
      <w:r w:rsidRPr="005C45DE">
        <w:t xml:space="preserve">om een </w:t>
      </w:r>
      <w:r w:rsidR="008A623C">
        <w:t>‘</w:t>
      </w:r>
      <w:r w:rsidRPr="005C45DE">
        <w:t>projectie</w:t>
      </w:r>
      <w:r w:rsidR="008A623C">
        <w:t xml:space="preserve">’ gaat </w:t>
      </w:r>
      <w:r w:rsidRPr="005C45DE">
        <w:t xml:space="preserve">dan om een </w:t>
      </w:r>
      <w:r w:rsidR="008A623C">
        <w:t>‘</w:t>
      </w:r>
      <w:r w:rsidRPr="005C45DE">
        <w:t>prognose</w:t>
      </w:r>
      <w:r w:rsidR="008A623C">
        <w:t>’</w:t>
      </w:r>
      <w:r w:rsidRPr="005C45DE">
        <w:t xml:space="preserve">. </w:t>
      </w:r>
      <w:r w:rsidR="00D47CEA" w:rsidRPr="005C45DE">
        <w:t xml:space="preserve">Hiermee gaf </w:t>
      </w:r>
      <w:r w:rsidR="00116D80">
        <w:t xml:space="preserve">hij </w:t>
      </w:r>
      <w:r w:rsidR="00D47CEA" w:rsidRPr="005C45DE">
        <w:t xml:space="preserve">aan dat het om een vooruitberekening gaat vertrekkend van een stel hypotheses. </w:t>
      </w:r>
    </w:p>
    <w:p w:rsidR="005C45DE" w:rsidRDefault="00116D80" w:rsidP="00603371">
      <w:pPr>
        <w:pStyle w:val="Lijstalinea"/>
        <w:numPr>
          <w:ilvl w:val="0"/>
          <w:numId w:val="37"/>
        </w:numPr>
        <w:spacing w:after="0" w:line="240" w:lineRule="auto"/>
        <w:ind w:left="567" w:hanging="567"/>
      </w:pPr>
      <w:r>
        <w:t>H</w:t>
      </w:r>
      <w:r w:rsidR="00D47CEA" w:rsidRPr="005C45DE">
        <w:t>ij wees er ook op dat voor verder liggende jaren de resultaten meer onzeker worden.</w:t>
      </w:r>
      <w:r w:rsidR="005C45DE" w:rsidRPr="005C45DE">
        <w:t xml:space="preserve"> Die visie vertaalt zich zeer duidelijk in het voornemen van SVR de periodiciteit van de projecties te verhogen van vijfjaarlijks tot driejaarlijks.</w:t>
      </w:r>
    </w:p>
    <w:p w:rsidR="005C45DE" w:rsidRDefault="005C45DE">
      <w:pPr>
        <w:spacing w:after="0" w:line="240" w:lineRule="auto"/>
      </w:pPr>
    </w:p>
    <w:p w:rsidR="005C45DE" w:rsidRDefault="005C45DE">
      <w:pPr>
        <w:spacing w:after="0" w:line="240" w:lineRule="auto"/>
      </w:pPr>
      <w:r>
        <w:t>Niettegenstaande die waarschuwingen blijft de verleiding groot de resultaten - ook  die op langere termijn – over te nemen en er beleidsbesluiten aan vast te knopen, zonder het nodige voorbehoud.</w:t>
      </w:r>
    </w:p>
    <w:p w:rsidR="005C45DE" w:rsidRDefault="005C45DE">
      <w:pPr>
        <w:spacing w:after="0" w:line="240" w:lineRule="auto"/>
      </w:pPr>
    </w:p>
    <w:p w:rsidR="00603371" w:rsidRDefault="00603371">
      <w:pPr>
        <w:spacing w:after="0" w:line="240" w:lineRule="auto"/>
      </w:pPr>
    </w:p>
    <w:p w:rsidR="006711FC" w:rsidRDefault="00A70ECE">
      <w:pPr>
        <w:spacing w:after="0" w:line="240" w:lineRule="auto"/>
      </w:pPr>
      <w:r>
        <w:t>Met deze studie wil de  provincie Antwerpen voor haar gemeenten in de eerste plaats enkele  indicatoren presenteren.</w:t>
      </w:r>
      <w:r w:rsidR="006A0FC3">
        <w:rPr>
          <w:rStyle w:val="Voetnootmarkering"/>
        </w:rPr>
        <w:footnoteReference w:id="2"/>
      </w:r>
      <w:r>
        <w:t xml:space="preserve"> </w:t>
      </w:r>
    </w:p>
    <w:p w:rsidR="00A70ECE" w:rsidRDefault="00A70ECE" w:rsidP="006711FC">
      <w:pPr>
        <w:pStyle w:val="Lijstalinea"/>
        <w:numPr>
          <w:ilvl w:val="0"/>
          <w:numId w:val="39"/>
        </w:numPr>
        <w:spacing w:after="0" w:line="240" w:lineRule="auto"/>
        <w:ind w:left="567" w:hanging="567"/>
      </w:pPr>
      <w:r>
        <w:t>De website van SVR geeft wel de cijfers naar geslacht en leeftijdsjaar. Maar als gemeente heb je nog wel veel werk als je hieruit enkele grote lijnen wil halen, en zeker als je die wil vergelijken met andere gemeenten.</w:t>
      </w:r>
    </w:p>
    <w:p w:rsidR="00C22623" w:rsidRDefault="007B0CC9" w:rsidP="006711FC">
      <w:pPr>
        <w:pStyle w:val="Lijstalinea"/>
        <w:numPr>
          <w:ilvl w:val="0"/>
          <w:numId w:val="39"/>
        </w:numPr>
        <w:spacing w:after="0" w:line="240" w:lineRule="auto"/>
        <w:ind w:left="567" w:hanging="567"/>
      </w:pPr>
      <w:r>
        <w:t xml:space="preserve">Deze studie brengt de evolutie tussen 2014 en 2024 in kaart voor de 0-19 jarigen, de 20-59 jarigen, de inwoners ouder dan 60 jaar, en voor de totale bevolking. </w:t>
      </w:r>
    </w:p>
    <w:p w:rsidR="00ED13FF" w:rsidRDefault="00C22623" w:rsidP="006711FC">
      <w:pPr>
        <w:pStyle w:val="Lijstalinea"/>
        <w:numPr>
          <w:ilvl w:val="0"/>
          <w:numId w:val="39"/>
        </w:numPr>
        <w:spacing w:after="0" w:line="240" w:lineRule="auto"/>
        <w:ind w:left="567" w:hanging="567"/>
      </w:pPr>
      <w:r>
        <w:t xml:space="preserve">Voor de evolutie van de 20-59 jarigen wordt ook onderzocht in welke mate die het gevolg is van de leeftijdsverdeling (het opschuiven van de </w:t>
      </w:r>
      <w:proofErr w:type="spellStart"/>
      <w:r>
        <w:t>na-oorlogse</w:t>
      </w:r>
      <w:proofErr w:type="spellEnd"/>
      <w:r>
        <w:t xml:space="preserve"> ‘babyboom’ </w:t>
      </w:r>
      <w:r w:rsidR="00ED13FF">
        <w:t>naar 60+</w:t>
      </w:r>
      <w:r w:rsidR="008A623C">
        <w:t>)</w:t>
      </w:r>
      <w:r w:rsidR="00ED13FF">
        <w:t>.</w:t>
      </w:r>
      <w:r>
        <w:t xml:space="preserve"> </w:t>
      </w:r>
    </w:p>
    <w:p w:rsidR="007C67FC" w:rsidRDefault="007B0CC9" w:rsidP="00ED13FF">
      <w:pPr>
        <w:pStyle w:val="Lijstalinea"/>
        <w:numPr>
          <w:ilvl w:val="0"/>
          <w:numId w:val="39"/>
        </w:numPr>
        <w:spacing w:after="0" w:line="240" w:lineRule="auto"/>
        <w:ind w:left="567" w:hanging="567"/>
      </w:pPr>
      <w:r>
        <w:t>Voor de inwoners ouder dan 60 jaar worden ook enkele indicatoren voorgesteld voor het belang van de ‘vergrijzing binnen de vergrijzing’</w:t>
      </w:r>
      <w:r w:rsidR="00ED13FF">
        <w:t xml:space="preserve"> (verschillen binnen de groep qua zorgvraag en inkomenspositie)</w:t>
      </w:r>
      <w:r>
        <w:t>.</w:t>
      </w:r>
    </w:p>
    <w:p w:rsidR="007C67FC" w:rsidRDefault="007C67FC">
      <w:pPr>
        <w:spacing w:after="0" w:line="240" w:lineRule="auto"/>
      </w:pPr>
    </w:p>
    <w:p w:rsidR="006711FC" w:rsidRDefault="006711FC">
      <w:pPr>
        <w:spacing w:after="0" w:line="240" w:lineRule="auto"/>
      </w:pPr>
    </w:p>
    <w:p w:rsidR="007C67FC" w:rsidRDefault="007C67FC">
      <w:pPr>
        <w:spacing w:after="0" w:line="240" w:lineRule="auto"/>
      </w:pPr>
      <w:r>
        <w:t>Deze studie wil verder aansluiten bij de waarschuwingen van SVR.</w:t>
      </w:r>
    </w:p>
    <w:p w:rsidR="00017D7C" w:rsidRDefault="007C67FC" w:rsidP="006711FC">
      <w:pPr>
        <w:pStyle w:val="Lijstalinea"/>
        <w:numPr>
          <w:ilvl w:val="0"/>
          <w:numId w:val="38"/>
        </w:numPr>
        <w:spacing w:after="0" w:line="240" w:lineRule="auto"/>
        <w:ind w:left="567" w:hanging="567"/>
      </w:pPr>
      <w:r>
        <w:t>Het is belangrijk niet alleen de resultaten te kennen, maar ook de hypotheses gebruikt bij de berekeningen. SVR presenteert wel een nota over de methodiek. Maar het vraagt wel wat tijd om er kennis van te nemen. Deze studie poogt daarom de krachtlijnen bondig weer te geven.</w:t>
      </w:r>
    </w:p>
    <w:p w:rsidR="007B59AE" w:rsidRDefault="007B59AE" w:rsidP="006711FC">
      <w:pPr>
        <w:spacing w:after="0" w:line="240" w:lineRule="auto"/>
        <w:ind w:left="567"/>
      </w:pPr>
      <w:r>
        <w:t>Die hypotheses steunen op een reflectie over trends  in het verleden. Sommige trends zijn echter juist door de observaties voor de jongste jaren minder duidelijk.</w:t>
      </w:r>
    </w:p>
    <w:p w:rsidR="007728D0" w:rsidRDefault="006711FC" w:rsidP="006711FC">
      <w:pPr>
        <w:pStyle w:val="Lijstalinea"/>
        <w:numPr>
          <w:ilvl w:val="0"/>
          <w:numId w:val="38"/>
        </w:numPr>
        <w:spacing w:after="0" w:line="240" w:lineRule="auto"/>
        <w:ind w:left="567" w:hanging="567"/>
      </w:pPr>
      <w:r>
        <w:t xml:space="preserve">De </w:t>
      </w:r>
      <w:r w:rsidR="005E7D5F">
        <w:t>SVR-</w:t>
      </w:r>
      <w:r>
        <w:t xml:space="preserve">projectie steunt op slechts één stel van mogelijke hypotheses. </w:t>
      </w:r>
      <w:r w:rsidR="007B59AE">
        <w:t xml:space="preserve">Deze studie </w:t>
      </w:r>
      <w:r w:rsidR="003B6254">
        <w:t xml:space="preserve">formuleert ook enkele alternatieve hypotheses en onderzoekt in welke mate dit tot andere resultaten leidt. De bedoeling is niet de ene berekening te verkiezen boven de  andere, </w:t>
      </w:r>
      <w:r w:rsidR="00603371">
        <w:t xml:space="preserve">maar wel door een alternatief </w:t>
      </w:r>
      <w:r>
        <w:t xml:space="preserve">- </w:t>
      </w:r>
      <w:r w:rsidR="00603371">
        <w:t xml:space="preserve">maar ook redelijk </w:t>
      </w:r>
      <w:r>
        <w:t xml:space="preserve">- </w:t>
      </w:r>
      <w:r w:rsidR="00603371">
        <w:t>stel hypotheses de onzekerheid van projecties te illustreren.</w:t>
      </w:r>
    </w:p>
    <w:p w:rsidR="007B0CC9" w:rsidRPr="005C45DE" w:rsidRDefault="007728D0" w:rsidP="00D70780">
      <w:pPr>
        <w:spacing w:after="0" w:line="240" w:lineRule="auto"/>
        <w:ind w:left="567"/>
      </w:pPr>
      <w:r>
        <w:t>Voor de meeste gemeenten geven beide vooruitberekeningen eerder beperkte verschillen op korte termijn. Belangrijk is wel te weten voor welke gemeenten dit niet zo is.</w:t>
      </w:r>
      <w:r w:rsidR="007C67FC">
        <w:t xml:space="preserve">  </w:t>
      </w:r>
      <w:r w:rsidR="007B0CC9">
        <w:t xml:space="preserve">   </w:t>
      </w:r>
    </w:p>
    <w:p w:rsidR="005C45DE" w:rsidRDefault="005C45DE">
      <w:pPr>
        <w:spacing w:after="0" w:line="240" w:lineRule="auto"/>
        <w:rPr>
          <w:color w:val="C00000"/>
        </w:rPr>
      </w:pPr>
    </w:p>
    <w:p w:rsidR="00EC4FF9" w:rsidRPr="00B76C0C" w:rsidRDefault="00D47CEA">
      <w:pPr>
        <w:spacing w:after="0" w:line="240" w:lineRule="auto"/>
        <w:rPr>
          <w:color w:val="C00000"/>
        </w:rPr>
      </w:pPr>
      <w:r>
        <w:rPr>
          <w:color w:val="C00000"/>
        </w:rPr>
        <w:t xml:space="preserve"> </w:t>
      </w:r>
      <w:r w:rsidR="00D003A4">
        <w:rPr>
          <w:color w:val="C00000"/>
        </w:rPr>
        <w:t xml:space="preserve"> </w:t>
      </w:r>
      <w:r w:rsidR="00EC4FF9" w:rsidRPr="00B76C0C">
        <w:rPr>
          <w:color w:val="C00000"/>
        </w:rPr>
        <w:br w:type="page"/>
      </w:r>
    </w:p>
    <w:p w:rsidR="00EF2D06" w:rsidRPr="00B8790D" w:rsidRDefault="00C90713" w:rsidP="00F12358">
      <w:pPr>
        <w:pStyle w:val="Lijstalinea"/>
        <w:numPr>
          <w:ilvl w:val="0"/>
          <w:numId w:val="1"/>
        </w:numPr>
        <w:spacing w:after="0"/>
        <w:ind w:left="567" w:hanging="567"/>
        <w:rPr>
          <w:b/>
          <w:color w:val="C00000"/>
          <w:sz w:val="24"/>
          <w:szCs w:val="24"/>
        </w:rPr>
      </w:pPr>
      <w:r>
        <w:rPr>
          <w:b/>
          <w:color w:val="C00000"/>
          <w:sz w:val="24"/>
          <w:szCs w:val="24"/>
        </w:rPr>
        <w:lastRenderedPageBreak/>
        <w:t xml:space="preserve">Bevolking op </w:t>
      </w:r>
      <w:r w:rsidR="000B14AA">
        <w:rPr>
          <w:b/>
          <w:color w:val="C00000"/>
          <w:sz w:val="24"/>
          <w:szCs w:val="24"/>
        </w:rPr>
        <w:t>“</w:t>
      </w:r>
      <w:r>
        <w:rPr>
          <w:b/>
          <w:color w:val="C00000"/>
          <w:sz w:val="24"/>
          <w:szCs w:val="24"/>
        </w:rPr>
        <w:t>actieve leeftijd</w:t>
      </w:r>
      <w:r w:rsidR="000B14AA">
        <w:rPr>
          <w:b/>
          <w:color w:val="C00000"/>
          <w:sz w:val="24"/>
          <w:szCs w:val="24"/>
        </w:rPr>
        <w:t>”</w:t>
      </w:r>
      <w:r>
        <w:rPr>
          <w:b/>
          <w:color w:val="C00000"/>
          <w:sz w:val="24"/>
          <w:szCs w:val="24"/>
        </w:rPr>
        <w:t xml:space="preserve"> (</w:t>
      </w:r>
      <w:r w:rsidR="00146694" w:rsidRPr="00B8790D">
        <w:rPr>
          <w:b/>
          <w:color w:val="C00000"/>
          <w:sz w:val="24"/>
          <w:szCs w:val="24"/>
        </w:rPr>
        <w:t>de 20-59 jarigen</w:t>
      </w:r>
      <w:r>
        <w:rPr>
          <w:b/>
          <w:color w:val="C00000"/>
          <w:sz w:val="24"/>
          <w:szCs w:val="24"/>
        </w:rPr>
        <w:t>)</w:t>
      </w:r>
    </w:p>
    <w:p w:rsidR="00F12358" w:rsidRDefault="00F12358" w:rsidP="00146694">
      <w:pPr>
        <w:spacing w:after="0"/>
      </w:pPr>
    </w:p>
    <w:p w:rsidR="00146694" w:rsidRDefault="00146694" w:rsidP="00146694">
      <w:pPr>
        <w:spacing w:after="0"/>
      </w:pPr>
      <w:r>
        <w:t>Het aantal 20-59 jarigen in 2024 is afhankelijk van:</w:t>
      </w:r>
    </w:p>
    <w:p w:rsidR="00F12358" w:rsidRDefault="00F12358" w:rsidP="004E2251">
      <w:pPr>
        <w:pStyle w:val="Lijstalinea"/>
        <w:numPr>
          <w:ilvl w:val="0"/>
          <w:numId w:val="2"/>
        </w:numPr>
        <w:spacing w:after="0"/>
        <w:ind w:left="567" w:hanging="567"/>
      </w:pPr>
      <w:r>
        <w:t>h</w:t>
      </w:r>
      <w:r w:rsidR="00146694">
        <w:t>et aantal 10-49 jarigen in 2014 (die 10 jaar later doorschuiven naar de leeftijd 20-59 ja</w:t>
      </w:r>
      <w:r w:rsidR="00D815E0">
        <w:t>ar</w:t>
      </w:r>
      <w:r w:rsidR="00146694">
        <w:t>)</w:t>
      </w:r>
    </w:p>
    <w:p w:rsidR="00F12358" w:rsidRDefault="00F12358" w:rsidP="004E2251">
      <w:pPr>
        <w:pStyle w:val="Lijstalinea"/>
        <w:numPr>
          <w:ilvl w:val="0"/>
          <w:numId w:val="2"/>
        </w:numPr>
        <w:spacing w:after="0"/>
        <w:ind w:left="567" w:hanging="567"/>
      </w:pPr>
      <w:r>
        <w:t>de sterfte bij de overgang van 10-49 jaar in 2014 naar 20-59 jaar in 2024</w:t>
      </w:r>
    </w:p>
    <w:p w:rsidR="00146694" w:rsidRDefault="00F12358" w:rsidP="004E2251">
      <w:pPr>
        <w:pStyle w:val="Lijstalinea"/>
        <w:numPr>
          <w:ilvl w:val="0"/>
          <w:numId w:val="2"/>
        </w:numPr>
        <w:spacing w:after="0"/>
        <w:ind w:left="567" w:hanging="567"/>
      </w:pPr>
      <w:r>
        <w:t>de inwijking en uitwijking bij die overgang.</w:t>
      </w:r>
    </w:p>
    <w:p w:rsidR="003027F7" w:rsidRDefault="00DA390D" w:rsidP="00DA390D">
      <w:pPr>
        <w:spacing w:after="0"/>
      </w:pPr>
      <w:r>
        <w:t>De invloed van sterfte is gering (</w:t>
      </w:r>
      <w:r w:rsidR="00EA0BB9">
        <w:t xml:space="preserve">- </w:t>
      </w:r>
      <w:r>
        <w:t>1,</w:t>
      </w:r>
      <w:r w:rsidR="008B27B1">
        <w:t>3</w:t>
      </w:r>
      <w:r>
        <w:t xml:space="preserve"> %</w:t>
      </w:r>
      <w:r w:rsidR="003027F7">
        <w:t>)</w:t>
      </w:r>
      <w:r>
        <w:t xml:space="preserve"> en </w:t>
      </w:r>
      <w:r w:rsidR="00AA3B56">
        <w:t>de evolutie is goed in te schatten.</w:t>
      </w:r>
      <w:r w:rsidR="003027F7" w:rsidRPr="003027F7">
        <w:rPr>
          <w:rStyle w:val="Voetnootmarkering"/>
        </w:rPr>
        <w:t xml:space="preserve"> </w:t>
      </w:r>
      <w:r w:rsidR="003027F7">
        <w:rPr>
          <w:rStyle w:val="Voetnootmarkering"/>
        </w:rPr>
        <w:footnoteReference w:id="3"/>
      </w:r>
      <w:r w:rsidR="003027F7">
        <w:t xml:space="preserve"> </w:t>
      </w:r>
      <w:r w:rsidR="006C60D8">
        <w:t xml:space="preserve"> </w:t>
      </w:r>
    </w:p>
    <w:p w:rsidR="00DA390D" w:rsidRDefault="006C60D8" w:rsidP="00DA390D">
      <w:pPr>
        <w:spacing w:after="0"/>
      </w:pPr>
      <w:r>
        <w:t>Meer aandacht vraagt de invloed van migratie.</w:t>
      </w:r>
      <w:r w:rsidR="00876722">
        <w:t xml:space="preserve"> Eerst volgt een schets van de evolutie zonder migratie.</w:t>
      </w:r>
    </w:p>
    <w:p w:rsidR="003027F7" w:rsidRDefault="003027F7" w:rsidP="00DA390D">
      <w:pPr>
        <w:spacing w:after="0"/>
      </w:pPr>
    </w:p>
    <w:p w:rsidR="00D570EF" w:rsidRPr="00D35DFD" w:rsidRDefault="00D570EF" w:rsidP="00D35DFD">
      <w:pPr>
        <w:pStyle w:val="Lijstalinea"/>
        <w:numPr>
          <w:ilvl w:val="0"/>
          <w:numId w:val="32"/>
        </w:numPr>
        <w:spacing w:after="0"/>
        <w:ind w:left="567" w:hanging="567"/>
        <w:rPr>
          <w:b/>
          <w:i/>
          <w:color w:val="3333FF"/>
        </w:rPr>
      </w:pPr>
      <w:r w:rsidRPr="00D35DFD">
        <w:rPr>
          <w:b/>
          <w:i/>
          <w:color w:val="3333FF"/>
        </w:rPr>
        <w:t>Evolutie zonder migratie</w:t>
      </w:r>
    </w:p>
    <w:p w:rsidR="00D570EF" w:rsidRDefault="00D570EF" w:rsidP="00DA390D">
      <w:pPr>
        <w:spacing w:after="0"/>
      </w:pPr>
    </w:p>
    <w:p w:rsidR="00806188" w:rsidRDefault="00876722" w:rsidP="00DA390D">
      <w:pPr>
        <w:spacing w:after="0"/>
      </w:pPr>
      <w:r>
        <w:t xml:space="preserve">Zonder migratie zou het aantal 20-59 jarigen in de periode 2014-2024 </w:t>
      </w:r>
      <w:r w:rsidR="0041326F">
        <w:t xml:space="preserve">in Vlaanderen </w:t>
      </w:r>
      <w:r>
        <w:t xml:space="preserve">met 8,1 % afnemen. </w:t>
      </w:r>
      <w:r w:rsidR="00806188">
        <w:t>De 50-59 jarigen waren in 2014 met 921.000 en verlaten de leeftijdsgroep 20-59 jaar.</w:t>
      </w:r>
    </w:p>
    <w:p w:rsidR="00D570EF" w:rsidRDefault="00806188" w:rsidP="00DA390D">
      <w:pPr>
        <w:spacing w:after="0"/>
      </w:pPr>
      <w:r>
        <w:t xml:space="preserve">De 10-19 jarigen in 2014 treden toe tot de leeftijdsgroep, maar waren in 2014 slechts met 686.000. </w:t>
      </w:r>
      <w:r w:rsidR="0086131F">
        <w:t>D</w:t>
      </w:r>
      <w:r w:rsidR="00BA458C">
        <w:t>e evolutie wordt vaak verklaard door de n</w:t>
      </w:r>
      <w:r w:rsidR="00B12060">
        <w:t xml:space="preserve">aoorlogse </w:t>
      </w:r>
      <w:r w:rsidR="00BA458C">
        <w:t>“</w:t>
      </w:r>
      <w:r w:rsidR="00B12060">
        <w:t>babyboom</w:t>
      </w:r>
      <w:r w:rsidR="00BA458C">
        <w:t>” (hier de geboorten in de jaren 1955-1965), maar is even zeer het gevolg van de latere  “baby</w:t>
      </w:r>
      <w:r w:rsidR="00F8287B">
        <w:t>-</w:t>
      </w:r>
      <w:r w:rsidR="00BA458C">
        <w:t>val”.</w:t>
      </w:r>
      <w:r w:rsidR="00CE4AA4">
        <w:rPr>
          <w:rStyle w:val="Voetnootmarkering"/>
        </w:rPr>
        <w:footnoteReference w:id="4"/>
      </w:r>
    </w:p>
    <w:p w:rsidR="00C83EB2" w:rsidRDefault="00C83EB2" w:rsidP="00DA390D">
      <w:pPr>
        <w:spacing w:after="0"/>
      </w:pPr>
    </w:p>
    <w:p w:rsidR="0077160A" w:rsidRDefault="00C83EB2" w:rsidP="00D911C0">
      <w:pPr>
        <w:spacing w:after="0"/>
      </w:pPr>
      <w:r>
        <w:t>V</w:t>
      </w:r>
      <w:r w:rsidR="00AB1E88">
        <w:t>olgende kaart over de provincie Antwerpen toont grote verschillen tussen gemeenten.</w:t>
      </w:r>
    </w:p>
    <w:p w:rsidR="00D911C0" w:rsidRDefault="0077160A" w:rsidP="00D911C0">
      <w:pPr>
        <w:spacing w:after="0"/>
      </w:pPr>
      <w:r w:rsidRPr="0077160A">
        <w:rPr>
          <w:highlight w:val="lightGray"/>
        </w:rPr>
        <w:t>Kaart 1</w:t>
      </w:r>
      <w:r w:rsidR="00AB1E88">
        <w:t xml:space="preserve"> </w:t>
      </w:r>
    </w:p>
    <w:p w:rsidR="00876722" w:rsidRDefault="0022527E" w:rsidP="00DA390D">
      <w:pPr>
        <w:spacing w:after="0"/>
      </w:pPr>
      <w:r>
        <w:rPr>
          <w:noProof/>
          <w:lang w:eastAsia="nl-BE"/>
        </w:rPr>
        <w:drawing>
          <wp:inline distT="0" distB="0" distL="0" distR="0">
            <wp:extent cx="5760720" cy="407289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_L2059A_1424_mig0.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D911C0" w:rsidRDefault="00D911C0">
      <w:pPr>
        <w:spacing w:after="0" w:line="240" w:lineRule="auto"/>
      </w:pPr>
    </w:p>
    <w:p w:rsidR="003C4425" w:rsidRDefault="00D911C0" w:rsidP="00DA390D">
      <w:pPr>
        <w:spacing w:after="0"/>
      </w:pPr>
      <w:r>
        <w:t xml:space="preserve">Voor 4 op 10 gemeenten (in donker blauw) is de afname </w:t>
      </w:r>
      <w:r w:rsidR="0073217F">
        <w:t>zelfs groter dan 10 %.</w:t>
      </w:r>
      <w:r w:rsidR="00DC3E3D">
        <w:t xml:space="preserve"> Voor slechts enkele gemeenten (in grijs) is de afname kleiner dan 5 %.</w:t>
      </w:r>
    </w:p>
    <w:p w:rsidR="00CA5F80" w:rsidRDefault="00CA5F80" w:rsidP="00DA390D">
      <w:pPr>
        <w:spacing w:after="0"/>
      </w:pPr>
    </w:p>
    <w:p w:rsidR="00CA5F80" w:rsidRPr="00A2756F" w:rsidRDefault="006E7C79" w:rsidP="00A2756F">
      <w:pPr>
        <w:spacing w:after="0"/>
        <w:rPr>
          <w:sz w:val="18"/>
          <w:szCs w:val="18"/>
        </w:rPr>
      </w:pPr>
      <w:r w:rsidRPr="00A2756F">
        <w:rPr>
          <w:sz w:val="18"/>
          <w:szCs w:val="18"/>
        </w:rPr>
        <w:t xml:space="preserve">De lokale verschillen zijn </w:t>
      </w:r>
      <w:r w:rsidR="00ED750E" w:rsidRPr="00A2756F">
        <w:rPr>
          <w:sz w:val="18"/>
          <w:szCs w:val="18"/>
        </w:rPr>
        <w:t xml:space="preserve">nog enkel </w:t>
      </w:r>
      <w:r w:rsidRPr="00A2756F">
        <w:rPr>
          <w:sz w:val="18"/>
          <w:szCs w:val="18"/>
        </w:rPr>
        <w:t>het gevolg van</w:t>
      </w:r>
      <w:r w:rsidR="00ED750E" w:rsidRPr="00A2756F">
        <w:rPr>
          <w:sz w:val="18"/>
          <w:szCs w:val="18"/>
        </w:rPr>
        <w:t xml:space="preserve"> de leeftijdsverdeling</w:t>
      </w:r>
      <w:r w:rsidR="00CA5F80" w:rsidRPr="00A2756F">
        <w:rPr>
          <w:sz w:val="18"/>
          <w:szCs w:val="18"/>
        </w:rPr>
        <w:t xml:space="preserve"> bij het begin (2014)</w:t>
      </w:r>
      <w:r w:rsidR="00A2756F" w:rsidRPr="00A2756F">
        <w:rPr>
          <w:sz w:val="18"/>
          <w:szCs w:val="18"/>
        </w:rPr>
        <w:t xml:space="preserve"> namelijk  </w:t>
      </w:r>
      <w:r w:rsidR="00CA5F80" w:rsidRPr="00A2756F">
        <w:rPr>
          <w:sz w:val="18"/>
          <w:szCs w:val="18"/>
        </w:rPr>
        <w:t xml:space="preserve"> de verhouding tussen intredende 0-19 jarigen en uittredende 20-59 jarigen. Die verhouding is wel beïnvloed door eerdere migratie.  </w:t>
      </w:r>
      <w:r w:rsidR="00ED750E" w:rsidRPr="00A2756F">
        <w:rPr>
          <w:sz w:val="18"/>
          <w:szCs w:val="18"/>
        </w:rPr>
        <w:t xml:space="preserve"> </w:t>
      </w:r>
      <w:r w:rsidR="00CA5F80" w:rsidRPr="00A2756F">
        <w:rPr>
          <w:sz w:val="18"/>
          <w:szCs w:val="18"/>
        </w:rPr>
        <w:t xml:space="preserve">Buitenlandse inwijking in bijvoorbeeld stad Antwerpen leidde tot een verjonging. Het aantal 10-19 jarigen nam sterker toe dan het aantal 50-59 jarigen. </w:t>
      </w:r>
    </w:p>
    <w:p w:rsidR="006E7C79" w:rsidRDefault="006E7C79" w:rsidP="00DA390D">
      <w:pPr>
        <w:spacing w:after="0"/>
      </w:pPr>
    </w:p>
    <w:p w:rsidR="00DC3E3D" w:rsidRDefault="00DC3E3D" w:rsidP="00DA390D">
      <w:pPr>
        <w:spacing w:after="0"/>
      </w:pPr>
    </w:p>
    <w:p w:rsidR="003027F7" w:rsidRPr="00D35DFD" w:rsidRDefault="00ED5E21" w:rsidP="00D35DFD">
      <w:pPr>
        <w:pStyle w:val="Lijstalinea"/>
        <w:numPr>
          <w:ilvl w:val="0"/>
          <w:numId w:val="32"/>
        </w:numPr>
        <w:spacing w:after="0"/>
        <w:ind w:left="567" w:hanging="567"/>
        <w:rPr>
          <w:b/>
          <w:i/>
          <w:color w:val="3333FF"/>
        </w:rPr>
      </w:pPr>
      <w:r w:rsidRPr="00D35DFD">
        <w:rPr>
          <w:b/>
          <w:i/>
          <w:color w:val="3333FF"/>
        </w:rPr>
        <w:t>Het effect van migratie</w:t>
      </w:r>
    </w:p>
    <w:p w:rsidR="006C60D8" w:rsidRDefault="006C60D8" w:rsidP="00DA390D">
      <w:pPr>
        <w:spacing w:after="0"/>
      </w:pPr>
    </w:p>
    <w:p w:rsidR="009A7B7C" w:rsidRDefault="00D37D5F" w:rsidP="00DA390D">
      <w:pPr>
        <w:spacing w:after="0"/>
      </w:pPr>
      <w:r>
        <w:t xml:space="preserve">SVR maakt onderscheid tussen: </w:t>
      </w:r>
      <w:r w:rsidR="00ED5E21">
        <w:t xml:space="preserve">a) binnenlandse migratie of het verhuizen van </w:t>
      </w:r>
      <w:r w:rsidR="00851A67">
        <w:t>ee</w:t>
      </w:r>
      <w:r w:rsidR="00ED5E21">
        <w:t xml:space="preserve">n gemeente in België naar een andere </w:t>
      </w:r>
      <w:r w:rsidR="00851A67">
        <w:t xml:space="preserve">gemeente in België </w:t>
      </w:r>
      <w:r w:rsidR="00ED5E21">
        <w:t xml:space="preserve">en b) internationale migratie </w:t>
      </w:r>
      <w:r w:rsidR="00862BF1">
        <w:t>(</w:t>
      </w:r>
      <w:r w:rsidR="00ED5E21">
        <w:t>inwijking vanuit een ander land of uitwijking naar een ander land</w:t>
      </w:r>
      <w:r w:rsidR="00E078AB">
        <w:t>)</w:t>
      </w:r>
      <w:r w:rsidR="00ED5E21">
        <w:t>.</w:t>
      </w:r>
      <w:r w:rsidR="00E11F5D">
        <w:rPr>
          <w:rStyle w:val="Voetnootmarkering"/>
        </w:rPr>
        <w:footnoteReference w:id="5"/>
      </w:r>
      <w:r w:rsidR="00F0678F">
        <w:t xml:space="preserve"> </w:t>
      </w:r>
    </w:p>
    <w:p w:rsidR="000E0124" w:rsidRDefault="000E0124" w:rsidP="00DA390D">
      <w:pPr>
        <w:spacing w:after="0"/>
      </w:pPr>
    </w:p>
    <w:p w:rsidR="000E0124" w:rsidRDefault="00862BF1" w:rsidP="00DA390D">
      <w:pPr>
        <w:spacing w:after="0"/>
      </w:pPr>
      <w:r>
        <w:t>De SVR-projectie</w:t>
      </w:r>
      <w:r w:rsidR="00D37D5F">
        <w:t xml:space="preserve"> vertrekt van enkele observaties voor de periode 1997-2013 en formuleert op die basis hypotheses over de toekomstige ontwikkeling.</w:t>
      </w:r>
    </w:p>
    <w:p w:rsidR="00B6540E" w:rsidRDefault="00B6540E">
      <w:pPr>
        <w:spacing w:after="0" w:line="240" w:lineRule="auto"/>
      </w:pPr>
    </w:p>
    <w:p w:rsidR="00136364" w:rsidRPr="00B8790D" w:rsidRDefault="00B96E6C" w:rsidP="00552089">
      <w:pPr>
        <w:spacing w:after="0"/>
        <w:rPr>
          <w:i/>
          <w:color w:val="009900"/>
        </w:rPr>
      </w:pPr>
      <w:r w:rsidRPr="00B8790D">
        <w:rPr>
          <w:i/>
          <w:color w:val="009900"/>
        </w:rPr>
        <w:t>B</w:t>
      </w:r>
      <w:r w:rsidR="000E0124" w:rsidRPr="00B8790D">
        <w:rPr>
          <w:i/>
          <w:color w:val="009900"/>
        </w:rPr>
        <w:t>innenlandse migratie</w:t>
      </w:r>
      <w:r w:rsidR="00542BCF" w:rsidRPr="00B8790D">
        <w:rPr>
          <w:i/>
          <w:color w:val="009900"/>
        </w:rPr>
        <w:t xml:space="preserve"> </w:t>
      </w:r>
      <w:r w:rsidR="00542BCF" w:rsidRPr="00B8790D">
        <w:rPr>
          <w:rStyle w:val="Voetnootmarkering"/>
          <w:i/>
          <w:color w:val="009900"/>
        </w:rPr>
        <w:footnoteReference w:id="6"/>
      </w:r>
    </w:p>
    <w:p w:rsidR="000E0124" w:rsidRDefault="000E0124" w:rsidP="00552089">
      <w:pPr>
        <w:spacing w:after="0"/>
      </w:pPr>
    </w:p>
    <w:p w:rsidR="005F253D" w:rsidRDefault="005F253D" w:rsidP="00552089">
      <w:pPr>
        <w:spacing w:after="0"/>
      </w:pPr>
      <w:r w:rsidRPr="005F253D">
        <w:rPr>
          <w:u w:val="single"/>
        </w:rPr>
        <w:t>observaties</w:t>
      </w:r>
      <w:r>
        <w:t xml:space="preserve">: </w:t>
      </w:r>
    </w:p>
    <w:p w:rsidR="00124C0A" w:rsidRDefault="005F253D" w:rsidP="00552089">
      <w:pPr>
        <w:spacing w:after="0"/>
      </w:pPr>
      <w:r>
        <w:t>H</w:t>
      </w:r>
      <w:r w:rsidR="000E0124">
        <w:t xml:space="preserve">et aantal migraties </w:t>
      </w:r>
      <w:r>
        <w:t xml:space="preserve">is </w:t>
      </w:r>
      <w:r w:rsidR="000E0124">
        <w:t>zeer hoog en sterk stijgend.</w:t>
      </w:r>
      <w:r w:rsidR="00446E8F">
        <w:t xml:space="preserve"> </w:t>
      </w:r>
    </w:p>
    <w:p w:rsidR="00446E8F" w:rsidRDefault="00446E8F" w:rsidP="00552089">
      <w:pPr>
        <w:spacing w:after="0"/>
      </w:pPr>
      <w:r>
        <w:t>De gemeentelijke saldi (inwijking – uitwijking) zijn veel geringer en vertonen meestal geen duidelijke trend.</w:t>
      </w:r>
    </w:p>
    <w:p w:rsidR="00124C0A" w:rsidRDefault="00124C0A" w:rsidP="00552089">
      <w:pPr>
        <w:spacing w:after="0"/>
      </w:pPr>
      <w:r>
        <w:t>De profielen naar leeftijd voor inwijking en uitwijking verschillen sterk tussen gemeenten.</w:t>
      </w:r>
    </w:p>
    <w:p w:rsidR="00124C0A" w:rsidRDefault="00124C0A" w:rsidP="00552089">
      <w:pPr>
        <w:spacing w:after="0"/>
      </w:pPr>
    </w:p>
    <w:p w:rsidR="005F253D" w:rsidRDefault="005F253D" w:rsidP="00552089">
      <w:pPr>
        <w:spacing w:after="0"/>
      </w:pPr>
      <w:r w:rsidRPr="005F253D">
        <w:rPr>
          <w:u w:val="single"/>
        </w:rPr>
        <w:t>prognose</w:t>
      </w:r>
      <w:r>
        <w:t>:</w:t>
      </w:r>
    </w:p>
    <w:p w:rsidR="00124C0A" w:rsidRDefault="005F253D" w:rsidP="00552089">
      <w:pPr>
        <w:spacing w:after="0"/>
      </w:pPr>
      <w:r>
        <w:t>Z</w:t>
      </w:r>
      <w:r w:rsidR="00446E8F">
        <w:t xml:space="preserve">owel inwijking als uitwijking </w:t>
      </w:r>
      <w:r>
        <w:t xml:space="preserve">worden </w:t>
      </w:r>
      <w:r w:rsidR="00446E8F">
        <w:t>doorgetrokken op basis van het gemiddelde van de 17 voorgaande jaren.</w:t>
      </w:r>
    </w:p>
    <w:p w:rsidR="00446E8F" w:rsidRDefault="00124C0A" w:rsidP="00552089">
      <w:pPr>
        <w:spacing w:after="0"/>
      </w:pPr>
      <w:r>
        <w:t xml:space="preserve">De leeftijdsverdeling wordt gelijk gehouden aan die voor de periode 2009-2013. </w:t>
      </w:r>
    </w:p>
    <w:p w:rsidR="00587B5E" w:rsidRDefault="00587B5E" w:rsidP="00587B5E">
      <w:pPr>
        <w:spacing w:after="0"/>
        <w:rPr>
          <w:color w:val="000000" w:themeColor="text1"/>
        </w:rPr>
      </w:pPr>
    </w:p>
    <w:p w:rsidR="00587B5E" w:rsidRDefault="00587B5E" w:rsidP="00587B5E">
      <w:pPr>
        <w:spacing w:after="0"/>
        <w:rPr>
          <w:color w:val="000000" w:themeColor="text1"/>
        </w:rPr>
      </w:pPr>
      <w:r>
        <w:rPr>
          <w:color w:val="000000" w:themeColor="text1"/>
        </w:rPr>
        <w:t xml:space="preserve">In de vorige prognose van SVR steunde de </w:t>
      </w:r>
      <w:r w:rsidRPr="00587B5E">
        <w:rPr>
          <w:color w:val="000000" w:themeColor="text1"/>
        </w:rPr>
        <w:t>binnenlandse</w:t>
      </w:r>
      <w:r>
        <w:rPr>
          <w:color w:val="000000" w:themeColor="text1"/>
        </w:rPr>
        <w:t xml:space="preserve"> migratie op de observatie voor de vier meest recente jaren. Dit maakte die prognose sterk gevoelig voor schommelingen in die migratie. De prognose 2015-2030 is hier veel minder gevoelig voor, daar ze steunt op het gemiddelde voor een observatieperiode van 17 jaar.</w:t>
      </w:r>
    </w:p>
    <w:p w:rsidR="00124C0A" w:rsidRDefault="00124C0A" w:rsidP="00552089">
      <w:pPr>
        <w:spacing w:after="0"/>
      </w:pPr>
    </w:p>
    <w:p w:rsidR="00587B5E" w:rsidRDefault="00587B5E">
      <w:pPr>
        <w:spacing w:after="0" w:line="240" w:lineRule="auto"/>
        <w:rPr>
          <w:i/>
          <w:color w:val="009900"/>
        </w:rPr>
      </w:pPr>
      <w:r>
        <w:rPr>
          <w:i/>
          <w:color w:val="009900"/>
        </w:rPr>
        <w:br w:type="page"/>
      </w:r>
    </w:p>
    <w:p w:rsidR="00124C0A" w:rsidRPr="00B8790D" w:rsidRDefault="00B96E6C" w:rsidP="00552089">
      <w:pPr>
        <w:spacing w:after="0"/>
        <w:rPr>
          <w:i/>
          <w:color w:val="009900"/>
        </w:rPr>
      </w:pPr>
      <w:r w:rsidRPr="00B8790D">
        <w:rPr>
          <w:i/>
          <w:color w:val="009900"/>
        </w:rPr>
        <w:lastRenderedPageBreak/>
        <w:t>I</w:t>
      </w:r>
      <w:r w:rsidR="00124C0A" w:rsidRPr="00B8790D">
        <w:rPr>
          <w:i/>
          <w:color w:val="009900"/>
        </w:rPr>
        <w:t>nternationale migratie</w:t>
      </w:r>
      <w:r w:rsidR="00542BCF" w:rsidRPr="00B8790D">
        <w:rPr>
          <w:i/>
          <w:color w:val="009900"/>
        </w:rPr>
        <w:t xml:space="preserve"> </w:t>
      </w:r>
      <w:r w:rsidR="00542BCF" w:rsidRPr="00B8790D">
        <w:rPr>
          <w:rStyle w:val="Voetnootmarkering"/>
          <w:i/>
          <w:color w:val="009900"/>
        </w:rPr>
        <w:footnoteReference w:id="7"/>
      </w:r>
    </w:p>
    <w:p w:rsidR="00124C0A" w:rsidRDefault="00124C0A" w:rsidP="00552089">
      <w:pPr>
        <w:spacing w:after="0"/>
      </w:pPr>
    </w:p>
    <w:p w:rsidR="005F253D" w:rsidRDefault="005F253D" w:rsidP="00552089">
      <w:pPr>
        <w:spacing w:after="0"/>
      </w:pPr>
      <w:r w:rsidRPr="005F253D">
        <w:rPr>
          <w:u w:val="single"/>
        </w:rPr>
        <w:t>observaties</w:t>
      </w:r>
      <w:r>
        <w:t>:</w:t>
      </w:r>
    </w:p>
    <w:p w:rsidR="00542BCF" w:rsidRDefault="00894F44" w:rsidP="00552089">
      <w:pPr>
        <w:spacing w:after="0"/>
      </w:pPr>
      <w:r>
        <w:t>De internationale migraties bereikten voor het Vlaams gewest een keerpunt in 2010. Na een sterke stijging van het saldo in de voorgaande jaren, zette zich een daling van de inwijking en een stijging van de uitwijking in.</w:t>
      </w:r>
      <w:r w:rsidR="00542BCF">
        <w:t xml:space="preserve"> Die evolutie zwakt wel af in 2013.</w:t>
      </w:r>
    </w:p>
    <w:p w:rsidR="00354DB6" w:rsidRDefault="00354DB6" w:rsidP="00552089">
      <w:pPr>
        <w:spacing w:after="0"/>
      </w:pPr>
    </w:p>
    <w:p w:rsidR="00F70159" w:rsidRDefault="00F70159" w:rsidP="006632EB">
      <w:pPr>
        <w:spacing w:after="0"/>
      </w:pPr>
      <w:r w:rsidRPr="00F70159">
        <w:rPr>
          <w:u w:val="single"/>
        </w:rPr>
        <w:t>prognose</w:t>
      </w:r>
      <w:r>
        <w:t>:</w:t>
      </w:r>
    </w:p>
    <w:p w:rsidR="00354DB6" w:rsidRDefault="009A3641" w:rsidP="006632EB">
      <w:pPr>
        <w:spacing w:after="0"/>
      </w:pPr>
      <w:r>
        <w:t>Voor iedere gemeente en p</w:t>
      </w:r>
      <w:r w:rsidR="00354DB6">
        <w:t xml:space="preserve">er leeftijdsjaar en geslacht evolueert het aantal dat </w:t>
      </w:r>
      <w:r w:rsidR="00354DB6" w:rsidRPr="006632EB">
        <w:rPr>
          <w:i/>
        </w:rPr>
        <w:t>inwijkt</w:t>
      </w:r>
      <w:r w:rsidR="00354DB6">
        <w:t xml:space="preserve"> tegen 2025 lineair naar het gemiddelde voor de jaren 2003-2007.</w:t>
      </w:r>
      <w:r w:rsidR="00354DB6">
        <w:rPr>
          <w:rStyle w:val="Voetnootmarkering"/>
        </w:rPr>
        <w:footnoteReference w:id="8"/>
      </w:r>
    </w:p>
    <w:p w:rsidR="00940558" w:rsidRDefault="00940558" w:rsidP="00C02812">
      <w:pPr>
        <w:spacing w:after="0"/>
      </w:pPr>
      <w:r>
        <w:t xml:space="preserve">Voor de </w:t>
      </w:r>
      <w:r w:rsidRPr="00C02812">
        <w:rPr>
          <w:i/>
        </w:rPr>
        <w:t>uitwijking</w:t>
      </w:r>
      <w:r>
        <w:t xml:space="preserve"> wordt </w:t>
      </w:r>
      <w:r w:rsidR="009A3641">
        <w:t xml:space="preserve">per gemeente </w:t>
      </w:r>
      <w:r>
        <w:t>gewerkt met kansen: aantal dat uitwijkt in een jaar als procent van het aantal inwoners bij het begin van het jaar. Per leeftijdsjaar wordt de kans in de prognosejaren bepaald door het gemiddelde van de kansen in de periode 2011-2013.</w:t>
      </w:r>
      <w:r>
        <w:rPr>
          <w:rStyle w:val="Voetnootmarkering"/>
        </w:rPr>
        <w:footnoteReference w:id="9"/>
      </w:r>
      <w:r>
        <w:t xml:space="preserve">  </w:t>
      </w:r>
    </w:p>
    <w:p w:rsidR="00542BCF" w:rsidRDefault="00542BCF">
      <w:pPr>
        <w:spacing w:after="0" w:line="240" w:lineRule="auto"/>
      </w:pPr>
    </w:p>
    <w:p w:rsidR="00587B5E" w:rsidRPr="00395B5B" w:rsidRDefault="00587B5E" w:rsidP="00587B5E">
      <w:pPr>
        <w:spacing w:after="0"/>
      </w:pPr>
      <w:r w:rsidRPr="00395B5B">
        <w:t xml:space="preserve">De evolutie van de </w:t>
      </w:r>
      <w:r w:rsidRPr="003F0AD9">
        <w:t>internationale migratie</w:t>
      </w:r>
      <w:r w:rsidRPr="00395B5B">
        <w:t xml:space="preserve"> in de observatieperiode leidt </w:t>
      </w:r>
      <w:r>
        <w:t xml:space="preserve">ook in de  huidige prognose  </w:t>
      </w:r>
      <w:r w:rsidRPr="00395B5B">
        <w:t>tot een grote onzekerheid over de hypotheses</w:t>
      </w:r>
      <w:r>
        <w:t xml:space="preserve">. </w:t>
      </w:r>
      <w:r w:rsidRPr="00395B5B">
        <w:t xml:space="preserve">De gepubliceerde </w:t>
      </w:r>
      <w:r>
        <w:t xml:space="preserve">cijfers </w:t>
      </w:r>
      <w:r w:rsidRPr="00395B5B">
        <w:t>geven enkel de totale buitenlandse inwijking en uitwijking, dus zonder opsplitsing naar leeftijd.</w:t>
      </w:r>
      <w:r w:rsidR="003F0AD9">
        <w:t xml:space="preserve"> Voor de provincie Antwerpen geeft dit volgend beeld.</w:t>
      </w:r>
    </w:p>
    <w:p w:rsidR="00587B5E" w:rsidRDefault="00587B5E" w:rsidP="00587B5E">
      <w:pPr>
        <w:spacing w:after="0"/>
        <w:rPr>
          <w:color w:val="FF0000"/>
        </w:rPr>
      </w:pPr>
    </w:p>
    <w:tbl>
      <w:tblPr>
        <w:tblStyle w:val="Tabelraster"/>
        <w:tblW w:w="0" w:type="auto"/>
        <w:tblLayout w:type="fixed"/>
        <w:tblLook w:val="04A0" w:firstRow="1" w:lastRow="0" w:firstColumn="1" w:lastColumn="0" w:noHBand="0" w:noVBand="1"/>
      </w:tblPr>
      <w:tblGrid>
        <w:gridCol w:w="5637"/>
        <w:gridCol w:w="3402"/>
      </w:tblGrid>
      <w:tr w:rsidR="00827695" w:rsidTr="009B6097">
        <w:trPr>
          <w:trHeight w:val="58"/>
        </w:trPr>
        <w:tc>
          <w:tcPr>
            <w:tcW w:w="5637" w:type="dxa"/>
          </w:tcPr>
          <w:p w:rsidR="00827695" w:rsidRDefault="009711A6" w:rsidP="00EF1EFE">
            <w:pPr>
              <w:spacing w:after="0" w:line="240" w:lineRule="auto"/>
              <w:ind w:right="753"/>
              <w:rPr>
                <w:color w:val="FF0000"/>
              </w:rPr>
            </w:pPr>
            <w:r>
              <w:rPr>
                <w:noProof/>
                <w:color w:val="FF0000"/>
                <w:lang w:eastAsia="nl-BE"/>
              </w:rPr>
              <w:drawing>
                <wp:inline distT="0" distB="0" distL="0" distR="0" wp14:anchorId="0CC1A813" wp14:editId="7C59AA55">
                  <wp:extent cx="3365500" cy="3529965"/>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3529965"/>
                          </a:xfrm>
                          <a:prstGeom prst="rect">
                            <a:avLst/>
                          </a:prstGeom>
                          <a:noFill/>
                        </pic:spPr>
                      </pic:pic>
                    </a:graphicData>
                  </a:graphic>
                </wp:inline>
              </w:drawing>
            </w:r>
          </w:p>
        </w:tc>
        <w:tc>
          <w:tcPr>
            <w:tcW w:w="3402" w:type="dxa"/>
          </w:tcPr>
          <w:p w:rsidR="007B352B" w:rsidRDefault="007B352B" w:rsidP="00B07886">
            <w:pPr>
              <w:spacing w:after="0"/>
              <w:rPr>
                <w:sz w:val="20"/>
                <w:szCs w:val="20"/>
              </w:rPr>
            </w:pPr>
          </w:p>
          <w:p w:rsidR="007B352B" w:rsidRDefault="007B352B" w:rsidP="00B07886">
            <w:pPr>
              <w:spacing w:after="0"/>
              <w:rPr>
                <w:sz w:val="20"/>
                <w:szCs w:val="20"/>
              </w:rPr>
            </w:pPr>
          </w:p>
          <w:p w:rsidR="00B07886" w:rsidRPr="006144F9" w:rsidRDefault="00B07886" w:rsidP="00B07886">
            <w:pPr>
              <w:spacing w:after="0"/>
              <w:rPr>
                <w:sz w:val="20"/>
                <w:szCs w:val="20"/>
              </w:rPr>
            </w:pPr>
            <w:r w:rsidRPr="006144F9">
              <w:rPr>
                <w:sz w:val="20"/>
                <w:szCs w:val="20"/>
              </w:rPr>
              <w:t xml:space="preserve">Hieruit blijkt dat de veronderstelde terugkeer van de inwijking naar het gemiddelde voor de jaren 2004-2007 </w:t>
            </w:r>
          </w:p>
          <w:p w:rsidR="00B07886" w:rsidRPr="006144F9" w:rsidRDefault="00B07886" w:rsidP="00B07886">
            <w:pPr>
              <w:spacing w:after="0"/>
              <w:rPr>
                <w:sz w:val="20"/>
                <w:szCs w:val="20"/>
              </w:rPr>
            </w:pPr>
            <w:r w:rsidRPr="006144F9">
              <w:rPr>
                <w:sz w:val="20"/>
                <w:szCs w:val="20"/>
              </w:rPr>
              <w:t>ook overeenstemt met een terugkeer naar iets meer dan het gemiddelde voor heel de observatieperiode</w:t>
            </w:r>
            <w:r w:rsidR="00C74266" w:rsidRPr="006144F9">
              <w:rPr>
                <w:sz w:val="20"/>
                <w:szCs w:val="20"/>
              </w:rPr>
              <w:t xml:space="preserve"> </w:t>
            </w:r>
            <w:r w:rsidRPr="006144F9">
              <w:rPr>
                <w:sz w:val="20"/>
                <w:szCs w:val="20"/>
              </w:rPr>
              <w:t xml:space="preserve">1997-2013. </w:t>
            </w:r>
          </w:p>
          <w:p w:rsidR="00B07886" w:rsidRPr="006144F9" w:rsidRDefault="00B07886" w:rsidP="00B07886">
            <w:pPr>
              <w:spacing w:after="0"/>
              <w:rPr>
                <w:sz w:val="20"/>
                <w:szCs w:val="20"/>
              </w:rPr>
            </w:pPr>
          </w:p>
          <w:p w:rsidR="00B07886" w:rsidRPr="006144F9" w:rsidRDefault="00B07886" w:rsidP="00B07886">
            <w:pPr>
              <w:spacing w:after="0"/>
              <w:rPr>
                <w:sz w:val="20"/>
                <w:szCs w:val="20"/>
              </w:rPr>
            </w:pPr>
            <w:r w:rsidRPr="006144F9">
              <w:rPr>
                <w:sz w:val="20"/>
                <w:szCs w:val="20"/>
              </w:rPr>
              <w:t>Onzeker blijft echter of de recente daling zich niet verder zal doorzetten</w:t>
            </w:r>
            <w:r w:rsidR="000803EA">
              <w:rPr>
                <w:sz w:val="20"/>
                <w:szCs w:val="20"/>
              </w:rPr>
              <w:t>, met een terugkeer tot lagere waarden</w:t>
            </w:r>
            <w:r w:rsidRPr="006144F9">
              <w:rPr>
                <w:sz w:val="20"/>
                <w:szCs w:val="20"/>
              </w:rPr>
              <w:t xml:space="preserve">. </w:t>
            </w:r>
          </w:p>
          <w:p w:rsidR="0035652B" w:rsidRPr="006144F9" w:rsidRDefault="0035652B" w:rsidP="00B07886">
            <w:pPr>
              <w:spacing w:after="0"/>
              <w:rPr>
                <w:sz w:val="20"/>
                <w:szCs w:val="20"/>
              </w:rPr>
            </w:pPr>
          </w:p>
          <w:p w:rsidR="006144F9" w:rsidRPr="006144F9" w:rsidRDefault="00C74266" w:rsidP="00B07886">
            <w:pPr>
              <w:spacing w:after="0"/>
              <w:rPr>
                <w:sz w:val="20"/>
                <w:szCs w:val="20"/>
              </w:rPr>
            </w:pPr>
            <w:r w:rsidRPr="006144F9">
              <w:rPr>
                <w:sz w:val="20"/>
                <w:szCs w:val="20"/>
              </w:rPr>
              <w:t xml:space="preserve">De emigratie wordt ongeveer constant gehouden. </w:t>
            </w:r>
          </w:p>
          <w:p w:rsidR="00827695" w:rsidRDefault="00C74266" w:rsidP="00D0722C">
            <w:pPr>
              <w:spacing w:after="0"/>
              <w:rPr>
                <w:color w:val="FF0000"/>
              </w:rPr>
            </w:pPr>
            <w:r w:rsidRPr="006144F9">
              <w:rPr>
                <w:sz w:val="20"/>
                <w:szCs w:val="20"/>
              </w:rPr>
              <w:t>Het jaarlijks gemiddeld migratiesaldo wordt hierdoor in 2014-2023</w:t>
            </w:r>
            <w:r w:rsidR="00616204" w:rsidRPr="006144F9">
              <w:rPr>
                <w:sz w:val="20"/>
                <w:szCs w:val="20"/>
              </w:rPr>
              <w:t xml:space="preserve"> iets lager dan in de  observatieperiode (7208 tegenover 7673) en 30 % lager dan in de periode 2002-2011 (10229).</w:t>
            </w:r>
          </w:p>
        </w:tc>
      </w:tr>
    </w:tbl>
    <w:p w:rsidR="00AF77F7" w:rsidRPr="00B8790D" w:rsidRDefault="00AF77F7">
      <w:pPr>
        <w:spacing w:after="0" w:line="240" w:lineRule="auto"/>
        <w:rPr>
          <w:i/>
          <w:color w:val="009900"/>
        </w:rPr>
      </w:pPr>
      <w:r w:rsidRPr="00B8790D">
        <w:rPr>
          <w:i/>
          <w:color w:val="009900"/>
        </w:rPr>
        <w:lastRenderedPageBreak/>
        <w:t>Het totale effect van migratie</w:t>
      </w:r>
      <w:r w:rsidR="00D0722C">
        <w:rPr>
          <w:i/>
          <w:color w:val="009900"/>
        </w:rPr>
        <w:t xml:space="preserve"> (binnenlands en internationaal)</w:t>
      </w:r>
    </w:p>
    <w:p w:rsidR="00B96E6C" w:rsidRDefault="00B96E6C">
      <w:pPr>
        <w:spacing w:after="0" w:line="240" w:lineRule="auto"/>
      </w:pPr>
    </w:p>
    <w:p w:rsidR="00AF77F7" w:rsidRDefault="0010635A" w:rsidP="0010635A">
      <w:pPr>
        <w:spacing w:after="0"/>
      </w:pPr>
      <w:r w:rsidRPr="00AF77F7">
        <w:t xml:space="preserve">De website van SVR geeft </w:t>
      </w:r>
      <w:r w:rsidR="00625985" w:rsidRPr="00AF77F7">
        <w:t>(op 11 maart 20</w:t>
      </w:r>
      <w:r w:rsidR="008C06DD" w:rsidRPr="00AF77F7">
        <w:t>1</w:t>
      </w:r>
      <w:r w:rsidR="00625985" w:rsidRPr="00AF77F7">
        <w:t xml:space="preserve">5) geen </w:t>
      </w:r>
      <w:r w:rsidR="00AF77F7" w:rsidRPr="00AF77F7">
        <w:t>cijfers naar leeftijd en voor de binnenlandse migratie ook enkel het saldo van inwijking en uitwijking.</w:t>
      </w:r>
      <w:r w:rsidR="00AF77F7" w:rsidRPr="00AF77F7">
        <w:rPr>
          <w:rStyle w:val="Voetnootmarkering"/>
        </w:rPr>
        <w:t xml:space="preserve"> </w:t>
      </w:r>
      <w:r w:rsidR="00AF77F7">
        <w:rPr>
          <w:rStyle w:val="Voetnootmarkering"/>
        </w:rPr>
        <w:footnoteReference w:id="10"/>
      </w:r>
      <w:r w:rsidR="00AF77F7">
        <w:t xml:space="preserve"> </w:t>
      </w:r>
      <w:r w:rsidR="00B96E6C">
        <w:t>Door vergelijking met de evolutie zonder migratie</w:t>
      </w:r>
      <w:r w:rsidR="00C93068">
        <w:t xml:space="preserve"> </w:t>
      </w:r>
      <w:r w:rsidR="00B96E6C">
        <w:t xml:space="preserve"> is het effect van migratie </w:t>
      </w:r>
      <w:r w:rsidR="00F70159">
        <w:t xml:space="preserve">op de evolutie van de 20-59 jarigen </w:t>
      </w:r>
      <w:r w:rsidR="00131395">
        <w:t xml:space="preserve">wel </w:t>
      </w:r>
      <w:r w:rsidR="00B96E6C">
        <w:t xml:space="preserve">te </w:t>
      </w:r>
      <w:r w:rsidR="00490BC2">
        <w:t>berekenen</w:t>
      </w:r>
      <w:r w:rsidR="00B96E6C">
        <w:t>.</w:t>
      </w:r>
    </w:p>
    <w:p w:rsidR="00055745" w:rsidRDefault="00055745" w:rsidP="0010635A">
      <w:pPr>
        <w:spacing w:after="0"/>
      </w:pPr>
    </w:p>
    <w:p w:rsidR="00747298" w:rsidRDefault="006678FA" w:rsidP="0010635A">
      <w:pPr>
        <w:spacing w:after="0"/>
      </w:pPr>
      <w:r>
        <w:t>Voor Vlaanderen zou migratie een positief effect van iets meer dan 5 % hebben.</w:t>
      </w:r>
      <w:r w:rsidR="00747298" w:rsidRPr="00747298">
        <w:t xml:space="preserve"> </w:t>
      </w:r>
    </w:p>
    <w:p w:rsidR="00CD5CB9" w:rsidRDefault="00AD2073" w:rsidP="0010635A">
      <w:pPr>
        <w:spacing w:after="0"/>
      </w:pPr>
      <w:r w:rsidRPr="00CD5CB9">
        <w:t>Vo</w:t>
      </w:r>
      <w:r w:rsidR="00747298" w:rsidRPr="00CD5CB9">
        <w:t>lgende kaart geeft het effect van migratie voor de gemeenten in de provincie Antwerpen.</w:t>
      </w:r>
    </w:p>
    <w:p w:rsidR="001A5B50" w:rsidRDefault="0077160A" w:rsidP="0010635A">
      <w:pPr>
        <w:spacing w:after="0"/>
      </w:pPr>
      <w:r w:rsidRPr="0077160A">
        <w:rPr>
          <w:highlight w:val="lightGray"/>
        </w:rPr>
        <w:t>Kaart 2</w:t>
      </w:r>
    </w:p>
    <w:p w:rsidR="00B02B62" w:rsidRDefault="00005366" w:rsidP="0010635A">
      <w:pPr>
        <w:spacing w:after="0"/>
      </w:pPr>
      <w:r>
        <w:rPr>
          <w:noProof/>
          <w:lang w:eastAsia="nl-BE"/>
        </w:rPr>
        <w:drawing>
          <wp:inline distT="0" distB="0" distL="0" distR="0">
            <wp:extent cx="5760720" cy="407289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2_EM2059A_1424.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054D7F" w:rsidRPr="00225506" w:rsidRDefault="00054D7F" w:rsidP="00225506">
      <w:pPr>
        <w:spacing w:after="0" w:line="240" w:lineRule="auto"/>
        <w:ind w:left="360"/>
        <w:rPr>
          <w:i/>
          <w:color w:val="0066FF"/>
        </w:rPr>
      </w:pPr>
    </w:p>
    <w:p w:rsidR="00B8790D" w:rsidRPr="00D35DFD" w:rsidRDefault="00054D7F" w:rsidP="00D35DFD">
      <w:pPr>
        <w:pStyle w:val="Lijstalinea"/>
        <w:numPr>
          <w:ilvl w:val="0"/>
          <w:numId w:val="32"/>
        </w:numPr>
        <w:spacing w:after="0" w:line="240" w:lineRule="auto"/>
        <w:ind w:left="567" w:hanging="567"/>
        <w:rPr>
          <w:b/>
          <w:i/>
          <w:color w:val="3333FF"/>
        </w:rPr>
      </w:pPr>
      <w:r w:rsidRPr="00D35DFD">
        <w:rPr>
          <w:b/>
          <w:i/>
          <w:color w:val="3333FF"/>
        </w:rPr>
        <w:t>Evolutie van de 20-59 jarigen</w:t>
      </w:r>
      <w:r w:rsidR="00750CFC" w:rsidRPr="00D35DFD">
        <w:rPr>
          <w:b/>
          <w:i/>
          <w:color w:val="3333FF"/>
        </w:rPr>
        <w:t xml:space="preserve"> volgens SVR</w:t>
      </w:r>
    </w:p>
    <w:p w:rsidR="004C1394" w:rsidRDefault="004C1394" w:rsidP="0010635A">
      <w:pPr>
        <w:spacing w:after="0"/>
        <w:rPr>
          <w:color w:val="FF0000"/>
        </w:rPr>
      </w:pPr>
    </w:p>
    <w:p w:rsidR="001A3CE2" w:rsidRDefault="005B3915" w:rsidP="0010635A">
      <w:pPr>
        <w:spacing w:after="0"/>
        <w:rPr>
          <w:color w:val="000000" w:themeColor="text1"/>
        </w:rPr>
      </w:pPr>
      <w:r>
        <w:rPr>
          <w:color w:val="000000" w:themeColor="text1"/>
        </w:rPr>
        <w:t>De evolutie van het aantal 20-59 jarigen in de periode 2014-2024 is uiteindelijk het resultaat van</w:t>
      </w:r>
    </w:p>
    <w:p w:rsidR="001A3CE2" w:rsidRDefault="005C420B" w:rsidP="0010635A">
      <w:pPr>
        <w:spacing w:after="0"/>
        <w:rPr>
          <w:color w:val="000000" w:themeColor="text1"/>
        </w:rPr>
      </w:pPr>
      <w:r>
        <w:rPr>
          <w:color w:val="000000" w:themeColor="text1"/>
        </w:rPr>
        <w:t>- het uittreden van de 50-59 jarigen en het intreden van de 10-49 jarigen</w:t>
      </w:r>
    </w:p>
    <w:p w:rsidR="001A3CE2" w:rsidRDefault="00E74F7D" w:rsidP="0010635A">
      <w:pPr>
        <w:spacing w:after="0"/>
        <w:rPr>
          <w:color w:val="000000" w:themeColor="text1"/>
        </w:rPr>
      </w:pPr>
      <w:r>
        <w:rPr>
          <w:color w:val="000000" w:themeColor="text1"/>
        </w:rPr>
        <w:t xml:space="preserve">- </w:t>
      </w:r>
      <w:r w:rsidR="001A3CE2">
        <w:rPr>
          <w:color w:val="000000" w:themeColor="text1"/>
        </w:rPr>
        <w:t xml:space="preserve">en van de migratie bij </w:t>
      </w:r>
      <w:r w:rsidR="00043392">
        <w:rPr>
          <w:color w:val="000000" w:themeColor="text1"/>
        </w:rPr>
        <w:t xml:space="preserve">de </w:t>
      </w:r>
      <w:r w:rsidR="001A3CE2">
        <w:rPr>
          <w:color w:val="000000" w:themeColor="text1"/>
        </w:rPr>
        <w:t>overgang naar de 20-59 jarigen bij het einde van de periode.</w:t>
      </w:r>
    </w:p>
    <w:p w:rsidR="008E15A5" w:rsidRDefault="008E15A5" w:rsidP="0010635A">
      <w:pPr>
        <w:spacing w:after="0"/>
        <w:rPr>
          <w:color w:val="000000" w:themeColor="text1"/>
        </w:rPr>
      </w:pPr>
    </w:p>
    <w:p w:rsidR="008E15A5" w:rsidRDefault="008E15A5" w:rsidP="0010635A">
      <w:pPr>
        <w:spacing w:after="0"/>
        <w:rPr>
          <w:color w:val="000000" w:themeColor="text1"/>
        </w:rPr>
      </w:pPr>
      <w:r>
        <w:rPr>
          <w:color w:val="000000" w:themeColor="text1"/>
        </w:rPr>
        <w:t xml:space="preserve">Voor Vlaanderen geeft dit een afname met bijna 3 % (- 8 % omdat de intredende leeftijdsgroep van de 10-19 jarigen bij het begin minder talrijk was dan de uittredende leeftijdsgroep van de 50-59 jarigen, + 5 % door migratie.) </w:t>
      </w:r>
    </w:p>
    <w:p w:rsidR="00731377" w:rsidRDefault="001A3CE2" w:rsidP="0010635A">
      <w:pPr>
        <w:spacing w:after="0"/>
        <w:rPr>
          <w:color w:val="000000" w:themeColor="text1"/>
        </w:rPr>
      </w:pPr>
      <w:r>
        <w:rPr>
          <w:color w:val="000000" w:themeColor="text1"/>
        </w:rPr>
        <w:t>Volgende kaart geeft het resultaat voor de gemeenten in de provincie Antwerpen.</w:t>
      </w:r>
    </w:p>
    <w:p w:rsidR="001D0EB1" w:rsidRDefault="001D0EB1">
      <w:pPr>
        <w:spacing w:after="0" w:line="240" w:lineRule="auto"/>
        <w:rPr>
          <w:color w:val="FF0000"/>
        </w:rPr>
      </w:pPr>
      <w:r>
        <w:rPr>
          <w:color w:val="FF0000"/>
        </w:rPr>
        <w:br w:type="page"/>
      </w:r>
    </w:p>
    <w:p w:rsidR="00AB08B3" w:rsidRPr="001D0EB1" w:rsidRDefault="001D0EB1" w:rsidP="0010635A">
      <w:pPr>
        <w:spacing w:after="0"/>
      </w:pPr>
      <w:r w:rsidRPr="001D0EB1">
        <w:rPr>
          <w:highlight w:val="lightGray"/>
        </w:rPr>
        <w:lastRenderedPageBreak/>
        <w:t>Kaart 3</w:t>
      </w:r>
    </w:p>
    <w:p w:rsidR="00FC4E7E" w:rsidRDefault="0022527E" w:rsidP="00A5789F">
      <w:pPr>
        <w:spacing w:after="0"/>
        <w:rPr>
          <w:color w:val="FF0000"/>
        </w:rPr>
      </w:pPr>
      <w:r>
        <w:rPr>
          <w:noProof/>
          <w:color w:val="FF0000"/>
          <w:lang w:eastAsia="nl-BE"/>
        </w:rPr>
        <w:drawing>
          <wp:inline distT="0" distB="0" distL="0" distR="0">
            <wp:extent cx="5760720" cy="407289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3_L2059A_1424.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FC4E7E" w:rsidRPr="007C65A3" w:rsidRDefault="00BA5EEF" w:rsidP="00A5789F">
      <w:pPr>
        <w:spacing w:after="0"/>
      </w:pPr>
      <w:r w:rsidRPr="007C65A3">
        <w:t xml:space="preserve">Voor Antwerpen, </w:t>
      </w:r>
      <w:proofErr w:type="spellStart"/>
      <w:r w:rsidRPr="007C65A3">
        <w:t>Niel</w:t>
      </w:r>
      <w:proofErr w:type="spellEnd"/>
      <w:r w:rsidRPr="007C65A3">
        <w:t xml:space="preserve"> en Boom is een toename met meer dan 5 % te verwachten</w:t>
      </w:r>
      <w:r w:rsidR="00E04B0F" w:rsidRPr="007C65A3">
        <w:t xml:space="preserve"> (zowel door een minder ongunstige leeftijdsverdeling als door een sterk migratiesaldo).</w:t>
      </w:r>
    </w:p>
    <w:p w:rsidR="00E04B0F" w:rsidRPr="007C65A3" w:rsidRDefault="00E04B0F" w:rsidP="00A5789F">
      <w:pPr>
        <w:spacing w:after="0"/>
      </w:pPr>
      <w:r w:rsidRPr="007C65A3">
        <w:t xml:space="preserve">Niettegenstaande het positief migratiesaldo voor de meeste gemeenten, zijn er verder slechts vier gemeenten (Willebroek, Mechelen, </w:t>
      </w:r>
      <w:proofErr w:type="spellStart"/>
      <w:r w:rsidRPr="007C65A3">
        <w:t>Hulshout</w:t>
      </w:r>
      <w:proofErr w:type="spellEnd"/>
      <w:r w:rsidRPr="007C65A3">
        <w:t xml:space="preserve"> en Geel) waarvoor het aantal 20-59 jarigen niet zou afnemen.</w:t>
      </w:r>
    </w:p>
    <w:p w:rsidR="007C65A3" w:rsidRPr="007C65A3" w:rsidRDefault="00826B91" w:rsidP="00A5789F">
      <w:pPr>
        <w:spacing w:after="0"/>
      </w:pPr>
      <w:r w:rsidRPr="007C65A3">
        <w:t xml:space="preserve">Voor </w:t>
      </w:r>
      <w:r w:rsidR="0046312D" w:rsidRPr="007C65A3">
        <w:t>ruim de helft van de gemeenten</w:t>
      </w:r>
      <w:r w:rsidR="007C65A3" w:rsidRPr="007C65A3">
        <w:t xml:space="preserve"> (in blauw op de kaart) is een afname met meer dan 5 % te verwachten.</w:t>
      </w:r>
      <w:r w:rsidR="0024525C">
        <w:t xml:space="preserve"> Voor 1 op 8 is die afname zelfs groter dan 10 %. </w:t>
      </w:r>
    </w:p>
    <w:p w:rsidR="00826B91" w:rsidRDefault="00826B91" w:rsidP="00A5789F">
      <w:pPr>
        <w:spacing w:after="0"/>
        <w:rPr>
          <w:color w:val="FF0000"/>
        </w:rPr>
      </w:pPr>
    </w:p>
    <w:p w:rsidR="0024525C" w:rsidRDefault="0024525C" w:rsidP="00A5789F">
      <w:pPr>
        <w:spacing w:after="0"/>
        <w:rPr>
          <w:color w:val="FF0000"/>
        </w:rPr>
      </w:pPr>
    </w:p>
    <w:p w:rsidR="00FC4E7E" w:rsidRPr="00B96D31" w:rsidRDefault="004A424F" w:rsidP="00B96D31">
      <w:pPr>
        <w:pStyle w:val="Lijstalinea"/>
        <w:numPr>
          <w:ilvl w:val="0"/>
          <w:numId w:val="32"/>
        </w:numPr>
        <w:spacing w:after="0"/>
        <w:ind w:left="567" w:hanging="567"/>
        <w:rPr>
          <w:b/>
          <w:i/>
          <w:color w:val="3333FF"/>
        </w:rPr>
      </w:pPr>
      <w:r w:rsidRPr="00B96D31">
        <w:rPr>
          <w:b/>
          <w:i/>
          <w:color w:val="3333FF"/>
        </w:rPr>
        <w:t>Invloed migratie personen met andere origine</w:t>
      </w:r>
      <w:r w:rsidR="00DB1EBB" w:rsidRPr="00B96D31">
        <w:rPr>
          <w:b/>
          <w:i/>
          <w:color w:val="3333FF"/>
        </w:rPr>
        <w:t xml:space="preserve"> en onzekerheid</w:t>
      </w:r>
    </w:p>
    <w:p w:rsidR="0024525C" w:rsidRDefault="0024525C" w:rsidP="00A5789F">
      <w:pPr>
        <w:spacing w:after="0"/>
        <w:rPr>
          <w:color w:val="FF0000"/>
        </w:rPr>
      </w:pPr>
    </w:p>
    <w:p w:rsidR="007559DD" w:rsidRDefault="00B3167D" w:rsidP="00A5789F">
      <w:pPr>
        <w:spacing w:after="0"/>
      </w:pPr>
      <w:r w:rsidRPr="009C595E">
        <w:t xml:space="preserve">Voor sommige gemeenten is de evolutie echter sterk afhankelijk van de </w:t>
      </w:r>
      <w:r w:rsidR="00213B28">
        <w:t xml:space="preserve">hypothese </w:t>
      </w:r>
      <w:r w:rsidR="004D4443">
        <w:t xml:space="preserve">over de </w:t>
      </w:r>
      <w:proofErr w:type="spellStart"/>
      <w:r w:rsidR="00243F33" w:rsidRPr="009C595E">
        <w:t>inter</w:t>
      </w:r>
      <w:r w:rsidR="00856928">
        <w:t>-</w:t>
      </w:r>
      <w:r w:rsidR="00243F33" w:rsidRPr="009C595E">
        <w:t>nationale</w:t>
      </w:r>
      <w:proofErr w:type="spellEnd"/>
      <w:r w:rsidR="00243F33" w:rsidRPr="009C595E">
        <w:t xml:space="preserve"> migratie</w:t>
      </w:r>
      <w:r w:rsidR="00213B28">
        <w:t>, met een onduidelijke trend in de observatieperiode</w:t>
      </w:r>
      <w:r w:rsidRPr="009C595E">
        <w:t xml:space="preserve">. </w:t>
      </w:r>
      <w:r w:rsidR="00961743">
        <w:t>De hypothese van SVR is dat de buitenlandse inwijking tegen 2025 terugloopt naar het niveau voor de periode 2003-2007</w:t>
      </w:r>
      <w:r w:rsidR="000964A8">
        <w:t xml:space="preserve"> en de emigratiekansen bepaald worden door de periode 2011-13</w:t>
      </w:r>
      <w:r w:rsidR="00961743">
        <w:t>. De vraag rijst of dit voor gemeenten niet een te kleine referentieperiode is?</w:t>
      </w:r>
      <w:r w:rsidR="007559DD">
        <w:t xml:space="preserve"> </w:t>
      </w:r>
    </w:p>
    <w:p w:rsidR="008D5AA4" w:rsidRDefault="008D5AA4" w:rsidP="00A5789F">
      <w:pPr>
        <w:spacing w:after="0"/>
      </w:pPr>
    </w:p>
    <w:p w:rsidR="007559DD" w:rsidRDefault="008D5AA4" w:rsidP="00A5789F">
      <w:pPr>
        <w:spacing w:after="0"/>
      </w:pPr>
      <w:r>
        <w:t xml:space="preserve">Op gemeentelijk niveau rijst </w:t>
      </w:r>
      <w:r w:rsidR="00856928">
        <w:t xml:space="preserve">overigens </w:t>
      </w:r>
      <w:r>
        <w:t>de vraag of de indeling binnenlands / internationaal de meest geschikte is</w:t>
      </w:r>
      <w:r w:rsidR="00B748FF">
        <w:t>?</w:t>
      </w:r>
      <w:r>
        <w:t xml:space="preserve"> </w:t>
      </w:r>
      <w:r w:rsidRPr="008D5AA4">
        <w:t xml:space="preserve">Als een </w:t>
      </w:r>
      <w:r w:rsidR="00FB647F">
        <w:t xml:space="preserve">buitenlandse </w:t>
      </w:r>
      <w:r w:rsidRPr="008D5AA4">
        <w:t>inwijking snel gevolgd wordt door verhuis naar een  andere gemeente, dan wordt die tweede migratie binnenlands, hoewel ze toch verbonden is met de  buitenlandse inwijking.</w:t>
      </w:r>
      <w:r w:rsidR="00C425D0">
        <w:t xml:space="preserve"> De veronderstelde afname van het internationaal migratiesaldo z</w:t>
      </w:r>
      <w:r w:rsidR="00FB647F">
        <w:t>al</w:t>
      </w:r>
      <w:r w:rsidR="00C425D0">
        <w:t xml:space="preserve"> dan voor sommige gemeenten ook invloed hebben op het binnenlands saldo. Met die invloed wordt echter </w:t>
      </w:r>
      <w:r w:rsidR="000D5364">
        <w:t xml:space="preserve">in de SVR-projectie </w:t>
      </w:r>
      <w:r w:rsidR="00C425D0">
        <w:t>geen rekening gehouden.</w:t>
      </w:r>
    </w:p>
    <w:p w:rsidR="00504E9B" w:rsidRDefault="006878AE" w:rsidP="00504E9B">
      <w:pPr>
        <w:spacing w:after="0"/>
      </w:pPr>
      <w:r w:rsidRPr="00A23D03">
        <w:lastRenderedPageBreak/>
        <w:t>De provincie Antwerpen bestudeerde de migratie in de  periode 2002-2012</w:t>
      </w:r>
      <w:r>
        <w:t xml:space="preserve"> met een andere indeling</w:t>
      </w:r>
      <w:r w:rsidR="00822790">
        <w:t xml:space="preserve">, </w:t>
      </w:r>
      <w:r>
        <w:t xml:space="preserve">  namelijk een </w:t>
      </w:r>
      <w:r w:rsidRPr="00A23D03">
        <w:t>opsplitsing naar origine.</w:t>
      </w:r>
      <w:r w:rsidRPr="00A23D03">
        <w:rPr>
          <w:rStyle w:val="Voetnootmarkering"/>
        </w:rPr>
        <w:t xml:space="preserve"> </w:t>
      </w:r>
      <w:r w:rsidRPr="00A23D03">
        <w:rPr>
          <w:rStyle w:val="Voetnootmarkering"/>
        </w:rPr>
        <w:footnoteReference w:id="11"/>
      </w:r>
      <w:r w:rsidRPr="00A23D03">
        <w:t xml:space="preserve"> </w:t>
      </w:r>
      <w:r w:rsidR="00504E9B">
        <w:t xml:space="preserve">De </w:t>
      </w:r>
      <w:r w:rsidR="00504E9B" w:rsidRPr="00A23D03">
        <w:t xml:space="preserve">migratie </w:t>
      </w:r>
      <w:r w:rsidR="00504E9B">
        <w:t xml:space="preserve">werd </w:t>
      </w:r>
      <w:r w:rsidR="00504E9B" w:rsidRPr="00A23D03">
        <w:t xml:space="preserve">afzonderlijk </w:t>
      </w:r>
      <w:r w:rsidR="00FB647F">
        <w:t xml:space="preserve">onderzocht </w:t>
      </w:r>
      <w:r w:rsidR="00504E9B" w:rsidRPr="00A23D03">
        <w:t xml:space="preserve">voor de personen </w:t>
      </w:r>
      <w:r w:rsidR="00DD46E3">
        <w:t>die bij hun geboorte noch de Belgische noch de Nederlandse nationaliteit hadden</w:t>
      </w:r>
      <w:r w:rsidR="00526DFB">
        <w:t xml:space="preserve"> of waarvoor </w:t>
      </w:r>
      <w:r w:rsidR="00504E9B" w:rsidRPr="00A23D03">
        <w:t xml:space="preserve"> minstens één </w:t>
      </w:r>
      <w:r w:rsidR="00526DFB">
        <w:t xml:space="preserve">van de </w:t>
      </w:r>
      <w:r w:rsidR="00504E9B" w:rsidRPr="00A23D03">
        <w:t>ouder</w:t>
      </w:r>
      <w:r w:rsidR="00526DFB">
        <w:t>s bij hun geboorte noch de Belgische noch de Nederlandse nationaliteit hadden</w:t>
      </w:r>
      <w:r w:rsidR="00504E9B" w:rsidRPr="00A23D03">
        <w:t xml:space="preserve">, aangeduid als personen met ‘andere origine’. </w:t>
      </w:r>
    </w:p>
    <w:p w:rsidR="00E504ED" w:rsidRDefault="00E504ED" w:rsidP="00E74F7D">
      <w:pPr>
        <w:spacing w:after="0"/>
      </w:pPr>
    </w:p>
    <w:p w:rsidR="00F42E92" w:rsidRDefault="00856928" w:rsidP="00E74F7D">
      <w:pPr>
        <w:spacing w:after="0"/>
      </w:pPr>
      <w:r>
        <w:t>D</w:t>
      </w:r>
      <w:r w:rsidR="00B752C1">
        <w:t>i</w:t>
      </w:r>
      <w:r>
        <w:t xml:space="preserve">e studie </w:t>
      </w:r>
      <w:r w:rsidR="008C2B75">
        <w:t xml:space="preserve">geeft voor de </w:t>
      </w:r>
      <w:r w:rsidR="00031BA9">
        <w:t>evolutie van het aantal 20-59 jarigen</w:t>
      </w:r>
      <w:r w:rsidR="00F42E92">
        <w:t xml:space="preserve"> </w:t>
      </w:r>
      <w:r w:rsidR="008C2B75">
        <w:t>een minimale en maximale raming</w:t>
      </w:r>
      <w:r w:rsidR="00F42E92">
        <w:t xml:space="preserve"> voor de periode 20</w:t>
      </w:r>
      <w:r w:rsidR="00B748FF">
        <w:t>12</w:t>
      </w:r>
      <w:r w:rsidR="00F42E92">
        <w:t>-20</w:t>
      </w:r>
      <w:r w:rsidR="00B748FF">
        <w:t>2</w:t>
      </w:r>
      <w:r w:rsidR="00F42E92">
        <w:t>2</w:t>
      </w:r>
      <w:r w:rsidR="008C2B75">
        <w:t xml:space="preserve">. </w:t>
      </w:r>
    </w:p>
    <w:p w:rsidR="00F42E92" w:rsidRDefault="008C2B75" w:rsidP="00F42E92">
      <w:pPr>
        <w:pStyle w:val="Lijstalinea"/>
        <w:numPr>
          <w:ilvl w:val="0"/>
          <w:numId w:val="15"/>
        </w:numPr>
        <w:spacing w:after="0"/>
        <w:ind w:left="567" w:hanging="567"/>
      </w:pPr>
      <w:r>
        <w:t xml:space="preserve">De maximale raming geeft de evolutie als de totale migratie per leeftijdsgroep even sterk blijft als in de </w:t>
      </w:r>
      <w:r w:rsidR="00F42E92">
        <w:t>10 voorgaande jaren.</w:t>
      </w:r>
    </w:p>
    <w:p w:rsidR="008C2B75" w:rsidRDefault="008C2B75" w:rsidP="00F42E92">
      <w:pPr>
        <w:pStyle w:val="Lijstalinea"/>
        <w:numPr>
          <w:ilvl w:val="0"/>
          <w:numId w:val="15"/>
        </w:numPr>
        <w:spacing w:after="0"/>
        <w:ind w:left="567" w:hanging="567"/>
      </w:pPr>
      <w:r>
        <w:t xml:space="preserve">De minimale raming geeft de evolutie zonder migratiesaldo voor personen met </w:t>
      </w:r>
      <w:r w:rsidR="00B6634A">
        <w:t>‘</w:t>
      </w:r>
      <w:r>
        <w:t>andere origine</w:t>
      </w:r>
      <w:r w:rsidR="00B6634A">
        <w:t>’ (noch Belgisch, noch Nederlands)</w:t>
      </w:r>
      <w:r>
        <w:t>.</w:t>
      </w:r>
    </w:p>
    <w:p w:rsidR="001D0EB1" w:rsidRDefault="00CF4528" w:rsidP="00E74F7D">
      <w:pPr>
        <w:spacing w:after="0"/>
      </w:pPr>
      <w:r>
        <w:t xml:space="preserve">Het verschil betreft enkel de bevolking met ‘andere origine’: gelijkblijvende migratie versus geen migratie. </w:t>
      </w:r>
      <w:r w:rsidR="00F42E92">
        <w:t xml:space="preserve">Volgende kaart </w:t>
      </w:r>
      <w:r w:rsidR="00B6634A">
        <w:t>geeft het gemiddelde</w:t>
      </w:r>
      <w:r>
        <w:t xml:space="preserve"> van beide ramingen</w:t>
      </w:r>
      <w:r w:rsidR="00B6634A">
        <w:t>, dit is bij halvering van het migratiesaldo voor personen met andere origine.</w:t>
      </w:r>
    </w:p>
    <w:p w:rsidR="00CF4528" w:rsidRDefault="00CF4528" w:rsidP="00E74F7D">
      <w:pPr>
        <w:spacing w:after="0"/>
      </w:pPr>
    </w:p>
    <w:p w:rsidR="00855009" w:rsidRDefault="001D0EB1" w:rsidP="00E74F7D">
      <w:pPr>
        <w:spacing w:after="0"/>
      </w:pPr>
      <w:r w:rsidRPr="001D0EB1">
        <w:rPr>
          <w:highlight w:val="lightGray"/>
        </w:rPr>
        <w:t>Kaart 4</w:t>
      </w:r>
      <w:r w:rsidR="009740D2">
        <w:t xml:space="preserve"> </w:t>
      </w:r>
    </w:p>
    <w:p w:rsidR="004A424F" w:rsidRDefault="004B6FF5" w:rsidP="00E74F7D">
      <w:pPr>
        <w:spacing w:after="0"/>
      </w:pPr>
      <w:r>
        <w:rPr>
          <w:noProof/>
          <w:lang w:eastAsia="nl-BE"/>
        </w:rPr>
        <w:drawing>
          <wp:inline distT="0" distB="0" distL="0" distR="0">
            <wp:extent cx="5760720" cy="407289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4_L2059KK1222ma50.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C95655" w:rsidRDefault="00C95655">
      <w:pPr>
        <w:spacing w:after="0" w:line="240" w:lineRule="auto"/>
      </w:pPr>
      <w:r>
        <w:br w:type="page"/>
      </w:r>
    </w:p>
    <w:p w:rsidR="00B752C1" w:rsidRPr="00C07707" w:rsidRDefault="00467216" w:rsidP="00B752C1">
      <w:pPr>
        <w:spacing w:after="0"/>
      </w:pPr>
      <w:r>
        <w:lastRenderedPageBreak/>
        <w:t>In de veronderstelling dat de evolutie in de periode 2014-2024 ongeveer even groot zal zijn als in de periode 2012-2022, toont v</w:t>
      </w:r>
      <w:r w:rsidR="00B752C1" w:rsidRPr="00C07707">
        <w:t>ergelijking met de kaart op basis van de pro</w:t>
      </w:r>
      <w:r w:rsidR="00AF3808">
        <w:t>jectie</w:t>
      </w:r>
      <w:r w:rsidR="00B752C1" w:rsidRPr="00C07707">
        <w:t xml:space="preserve"> van SVR </w:t>
      </w:r>
      <w:r w:rsidR="00C95655">
        <w:t xml:space="preserve">(kaart 3) </w:t>
      </w:r>
      <w:r w:rsidR="00B752C1" w:rsidRPr="00C07707">
        <w:t>onder meer het volgende:</w:t>
      </w:r>
    </w:p>
    <w:p w:rsidR="00B752C1" w:rsidRDefault="00B752C1" w:rsidP="00B752C1">
      <w:pPr>
        <w:pStyle w:val="Lijstalinea"/>
        <w:numPr>
          <w:ilvl w:val="0"/>
          <w:numId w:val="16"/>
        </w:numPr>
        <w:spacing w:after="0"/>
        <w:ind w:left="567" w:hanging="567"/>
      </w:pPr>
      <w:r w:rsidRPr="00C07707">
        <w:t>Voor 3 op 4 gemeenten is het verschil gering (kleiner dan 2,5 %).</w:t>
      </w:r>
    </w:p>
    <w:p w:rsidR="00467216" w:rsidRDefault="00B752C1" w:rsidP="00B752C1">
      <w:pPr>
        <w:pStyle w:val="Lijstalinea"/>
        <w:numPr>
          <w:ilvl w:val="0"/>
          <w:numId w:val="16"/>
        </w:numPr>
        <w:spacing w:after="0"/>
        <w:ind w:left="567" w:hanging="567"/>
      </w:pPr>
      <w:r>
        <w:t xml:space="preserve">Voor de meeste noordelijke gemeenten aan de grens met Nederland zou de afname </w:t>
      </w:r>
      <w:r w:rsidR="009C26B0">
        <w:t>kleiner</w:t>
      </w:r>
      <w:r>
        <w:t xml:space="preserve"> zijn dan </w:t>
      </w:r>
      <w:r w:rsidR="009C26B0">
        <w:t>in de projectie van SVR.</w:t>
      </w:r>
      <w:r w:rsidR="00C53F73">
        <w:rPr>
          <w:rStyle w:val="Voetnootmarkering"/>
        </w:rPr>
        <w:footnoteReference w:id="12"/>
      </w:r>
    </w:p>
    <w:p w:rsidR="00467216" w:rsidRDefault="00B752C1" w:rsidP="00B752C1">
      <w:pPr>
        <w:pStyle w:val="Lijstalinea"/>
        <w:numPr>
          <w:ilvl w:val="0"/>
          <w:numId w:val="16"/>
        </w:numPr>
        <w:spacing w:after="0"/>
        <w:ind w:left="567" w:hanging="567"/>
      </w:pPr>
      <w:r w:rsidRPr="00C07707">
        <w:t>Voor 1 op 10 gemeenten</w:t>
      </w:r>
      <w:r w:rsidR="000964A8">
        <w:t xml:space="preserve"> (zie volgende lijst</w:t>
      </w:r>
      <w:r w:rsidR="000964A8">
        <w:rPr>
          <w:rStyle w:val="Voetnootmarkering"/>
        </w:rPr>
        <w:footnoteReference w:id="13"/>
      </w:r>
      <w:r w:rsidR="000964A8">
        <w:t>)</w:t>
      </w:r>
      <w:r w:rsidRPr="00C07707">
        <w:t xml:space="preserve"> zou in vergelijking met de prognose van SVR de toename veel geringer zijn of de afname nog groter.</w:t>
      </w:r>
    </w:p>
    <w:p w:rsidR="00B752C1" w:rsidRDefault="00B752C1" w:rsidP="00467216">
      <w:pPr>
        <w:spacing w:after="0"/>
      </w:pPr>
      <w:r w:rsidRPr="00C07707">
        <w:t xml:space="preserve"> </w:t>
      </w:r>
    </w:p>
    <w:p w:rsidR="006A7612" w:rsidRDefault="00CE5B15" w:rsidP="00E74F7D">
      <w:pPr>
        <w:spacing w:after="0"/>
      </w:pPr>
      <w:r>
        <w:rPr>
          <w:noProof/>
          <w:lang w:eastAsia="nl-BE"/>
        </w:rPr>
        <w:drawing>
          <wp:inline distT="0" distB="0" distL="0" distR="0">
            <wp:extent cx="5760720" cy="3238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412195" w:rsidRDefault="00412195" w:rsidP="00E74F7D">
      <w:pPr>
        <w:spacing w:after="0"/>
      </w:pPr>
    </w:p>
    <w:p w:rsidR="009C26B0" w:rsidRDefault="009C26B0" w:rsidP="00B47AB4">
      <w:pPr>
        <w:pStyle w:val="Lijstalinea"/>
        <w:numPr>
          <w:ilvl w:val="0"/>
          <w:numId w:val="17"/>
        </w:numPr>
        <w:spacing w:after="0"/>
        <w:ind w:left="567" w:hanging="567"/>
      </w:pPr>
      <w:r w:rsidRPr="00C07707">
        <w:t>Voor</w:t>
      </w:r>
      <w:r w:rsidR="00AB5718">
        <w:t>al voor</w:t>
      </w:r>
      <w:r w:rsidRPr="00C07707">
        <w:t xml:space="preserve"> stad Antwerpen </w:t>
      </w:r>
      <w:r w:rsidR="00AB5718">
        <w:t>zou</w:t>
      </w:r>
      <w:r w:rsidRPr="00C07707">
        <w:t xml:space="preserve"> de toename veel kleiner</w:t>
      </w:r>
      <w:r w:rsidR="001E2223">
        <w:t xml:space="preserve"> en gering worden (2 % </w:t>
      </w:r>
      <w:r w:rsidR="00B47AB4">
        <w:t>versus</w:t>
      </w:r>
      <w:r w:rsidR="001E2223">
        <w:t xml:space="preserve"> 8 %)</w:t>
      </w:r>
      <w:r>
        <w:t>.</w:t>
      </w:r>
      <w:r w:rsidRPr="00C07707">
        <w:t xml:space="preserve"> </w:t>
      </w:r>
    </w:p>
    <w:p w:rsidR="009C26B0" w:rsidRDefault="009C26B0" w:rsidP="00B47AB4">
      <w:pPr>
        <w:pStyle w:val="Lijstalinea"/>
        <w:numPr>
          <w:ilvl w:val="0"/>
          <w:numId w:val="17"/>
        </w:numPr>
        <w:spacing w:after="0"/>
        <w:ind w:left="567" w:hanging="567"/>
      </w:pPr>
      <w:r w:rsidRPr="00C07707">
        <w:t>De matige afname voor Turnhout</w:t>
      </w:r>
      <w:r>
        <w:t xml:space="preserve"> </w:t>
      </w:r>
      <w:r w:rsidRPr="00C07707">
        <w:t>zou dan sterk zijn</w:t>
      </w:r>
      <w:r>
        <w:t>.</w:t>
      </w:r>
      <w:r w:rsidRPr="00C07707">
        <w:t xml:space="preserve"> </w:t>
      </w:r>
    </w:p>
    <w:p w:rsidR="009C26B0" w:rsidRDefault="009C26B0" w:rsidP="00B47AB4">
      <w:pPr>
        <w:pStyle w:val="Lijstalinea"/>
        <w:numPr>
          <w:ilvl w:val="0"/>
          <w:numId w:val="17"/>
        </w:numPr>
        <w:spacing w:after="0"/>
        <w:ind w:left="567" w:hanging="567"/>
      </w:pPr>
      <w:r w:rsidRPr="00C07707">
        <w:t>De sterke afname voor Borsbeek zou nog sterker zijn</w:t>
      </w:r>
      <w:r w:rsidR="00AB5718">
        <w:t>.</w:t>
      </w:r>
      <w:r w:rsidRPr="00C07707">
        <w:t xml:space="preserve"> </w:t>
      </w:r>
    </w:p>
    <w:p w:rsidR="009C26B0" w:rsidRDefault="009C26B0" w:rsidP="00B47AB4">
      <w:pPr>
        <w:pStyle w:val="Lijstalinea"/>
        <w:numPr>
          <w:ilvl w:val="0"/>
          <w:numId w:val="17"/>
        </w:numPr>
        <w:spacing w:after="0"/>
        <w:ind w:left="567" w:hanging="567"/>
      </w:pPr>
      <w:r w:rsidRPr="00C07707">
        <w:t xml:space="preserve">De lichte toename  voor Geel, Willebroek en Mechelen verandert in lichte afname. </w:t>
      </w:r>
    </w:p>
    <w:p w:rsidR="009C26B0" w:rsidRPr="00C07707" w:rsidRDefault="009C26B0" w:rsidP="00B47AB4">
      <w:pPr>
        <w:pStyle w:val="Lijstalinea"/>
        <w:numPr>
          <w:ilvl w:val="0"/>
          <w:numId w:val="17"/>
        </w:numPr>
        <w:spacing w:after="0"/>
        <w:ind w:left="567" w:hanging="567"/>
      </w:pPr>
      <w:r w:rsidRPr="00C07707">
        <w:t xml:space="preserve">De sterke toename voor </w:t>
      </w:r>
      <w:proofErr w:type="spellStart"/>
      <w:r w:rsidRPr="00C07707">
        <w:t>Niel</w:t>
      </w:r>
      <w:proofErr w:type="spellEnd"/>
      <w:r w:rsidRPr="00C07707">
        <w:t xml:space="preserve"> blijft sterk maar wel minder.</w:t>
      </w:r>
    </w:p>
    <w:p w:rsidR="00A40B4A" w:rsidRDefault="00B47AB4" w:rsidP="00E74F7D">
      <w:pPr>
        <w:spacing w:after="0"/>
      </w:pPr>
      <w:r>
        <w:t xml:space="preserve">De bedoeling is hier niet de ene berekening te verkiezen boven de andere, wel </w:t>
      </w:r>
      <w:r w:rsidR="00CE5B15">
        <w:t xml:space="preserve">met twee alternatieve redelijke hypotheses </w:t>
      </w:r>
      <w:r>
        <w:t>de onzekerheid van iedere bevolkingsprojectie te illustreren.</w:t>
      </w:r>
    </w:p>
    <w:p w:rsidR="00B47AB4" w:rsidRDefault="00B47AB4" w:rsidP="00E74F7D">
      <w:pPr>
        <w:spacing w:after="0"/>
      </w:pPr>
    </w:p>
    <w:p w:rsidR="004A424F" w:rsidRDefault="009740D2" w:rsidP="00E74F7D">
      <w:pPr>
        <w:spacing w:after="0"/>
      </w:pPr>
      <w:r>
        <w:t>Ten slotte dient opgemerkt dat de pro</w:t>
      </w:r>
      <w:r w:rsidR="00526DFB">
        <w:t>jectie</w:t>
      </w:r>
      <w:r>
        <w:t xml:space="preserve"> van SVR voor hypotheses over migratie geen rekening hield </w:t>
      </w:r>
      <w:r w:rsidR="006A7612">
        <w:t>met al sterke toenames van de bevolking in de voorgaande tien jaar. Voor steden met een zeer hoge bevolkingsdichtheid, zoals Antwerpen, rijst de vraag of een blijvende sterke toename niet botst op grenzen van huisvesting?</w:t>
      </w:r>
    </w:p>
    <w:p w:rsidR="00FE6F0F" w:rsidRDefault="00FE6F0F" w:rsidP="00E74F7D">
      <w:pPr>
        <w:spacing w:after="0"/>
      </w:pPr>
    </w:p>
    <w:p w:rsidR="00742DF4" w:rsidRPr="00B8790D" w:rsidRDefault="00742DF4" w:rsidP="00742DF4">
      <w:pPr>
        <w:pStyle w:val="Lijstalinea"/>
        <w:numPr>
          <w:ilvl w:val="0"/>
          <w:numId w:val="1"/>
        </w:numPr>
        <w:spacing w:after="0"/>
        <w:ind w:left="567" w:hanging="567"/>
        <w:rPr>
          <w:b/>
          <w:color w:val="C00000"/>
          <w:sz w:val="24"/>
          <w:szCs w:val="24"/>
        </w:rPr>
      </w:pPr>
      <w:r>
        <w:rPr>
          <w:b/>
          <w:color w:val="C00000"/>
          <w:sz w:val="24"/>
          <w:szCs w:val="24"/>
        </w:rPr>
        <w:lastRenderedPageBreak/>
        <w:t>Jongeren (0-19 jaar)</w:t>
      </w:r>
    </w:p>
    <w:p w:rsidR="000B043C" w:rsidRPr="000B14AA" w:rsidRDefault="000B043C" w:rsidP="0010635A">
      <w:pPr>
        <w:spacing w:after="0"/>
      </w:pPr>
    </w:p>
    <w:p w:rsidR="006B542E" w:rsidRDefault="001103B0" w:rsidP="009A6D75">
      <w:pPr>
        <w:spacing w:after="0"/>
      </w:pPr>
      <w:r>
        <w:t>Voor de bepaling van het aantal 0-19 jarigen in 2024 maakt SVR eerst een raming van de geboortes in de periode 2014-2023.</w:t>
      </w:r>
      <w:r w:rsidR="00894517">
        <w:t xml:space="preserve"> Die raming steunt op een analyse van de evolutie voor Vlaanderen</w:t>
      </w:r>
      <w:r w:rsidR="00FC4996">
        <w:t xml:space="preserve"> (punt a)</w:t>
      </w:r>
      <w:r w:rsidR="00292263">
        <w:t xml:space="preserve"> en het (quasi) constant houden van lokale verschillen</w:t>
      </w:r>
      <w:r w:rsidR="00FC4996">
        <w:t xml:space="preserve"> (punt b)</w:t>
      </w:r>
      <w:r w:rsidR="00292263">
        <w:t>.</w:t>
      </w:r>
      <w:r>
        <w:t xml:space="preserve"> </w:t>
      </w:r>
      <w:r w:rsidR="00292263">
        <w:t xml:space="preserve">Voor migratie en sterfte </w:t>
      </w:r>
      <w:r w:rsidR="00380D6C">
        <w:t>verloopt de raming zoals voor de 20-59 jarigen.</w:t>
      </w:r>
    </w:p>
    <w:p w:rsidR="001A20CF" w:rsidRDefault="001A20CF" w:rsidP="009A6D75">
      <w:pPr>
        <w:spacing w:after="0"/>
      </w:pPr>
      <w:r>
        <w:t>Een alternatieve benadering is de evolutie van de 0-19 jarigen te koppelen aan die van de 20-59 jarigen.</w:t>
      </w:r>
      <w:r w:rsidR="00D90636">
        <w:t xml:space="preserve"> Die benadering onderzoekt of het aantal jongeren voldoende is om de generaties van hun ouders in aantal op te volgen</w:t>
      </w:r>
      <w:r w:rsidR="00FC4996">
        <w:t>, en hoe dit evolueert</w:t>
      </w:r>
      <w:r w:rsidR="00E078AB">
        <w:t xml:space="preserve"> </w:t>
      </w:r>
      <w:r w:rsidR="00FC4996">
        <w:t>(punt c)</w:t>
      </w:r>
      <w:r w:rsidR="00E078AB">
        <w:t>.</w:t>
      </w:r>
    </w:p>
    <w:p w:rsidR="00B55426" w:rsidRDefault="00FC4996" w:rsidP="009A6D75">
      <w:pPr>
        <w:spacing w:after="0"/>
      </w:pPr>
      <w:r>
        <w:t xml:space="preserve">Dit deel over de jongeren wordt afgerond met een vergelijking van beide benaderingen (punt d). </w:t>
      </w:r>
    </w:p>
    <w:p w:rsidR="00F2690B" w:rsidRDefault="00F2690B" w:rsidP="009A6D75">
      <w:pPr>
        <w:spacing w:after="0"/>
      </w:pPr>
    </w:p>
    <w:p w:rsidR="000B043C" w:rsidRPr="00D373A9" w:rsidRDefault="0099349C" w:rsidP="00D373A9">
      <w:pPr>
        <w:pStyle w:val="Lijstalinea"/>
        <w:numPr>
          <w:ilvl w:val="0"/>
          <w:numId w:val="36"/>
        </w:numPr>
        <w:spacing w:after="0"/>
        <w:ind w:left="567" w:hanging="567"/>
        <w:rPr>
          <w:b/>
          <w:i/>
          <w:color w:val="3333FF"/>
        </w:rPr>
      </w:pPr>
      <w:r w:rsidRPr="00D373A9">
        <w:rPr>
          <w:b/>
          <w:i/>
          <w:color w:val="3333FF"/>
        </w:rPr>
        <w:t>ge</w:t>
      </w:r>
      <w:r w:rsidR="00F2690B" w:rsidRPr="00D373A9">
        <w:rPr>
          <w:b/>
          <w:i/>
          <w:color w:val="3333FF"/>
        </w:rPr>
        <w:t>boortes</w:t>
      </w:r>
      <w:r w:rsidR="003353F7" w:rsidRPr="00D373A9">
        <w:rPr>
          <w:b/>
          <w:i/>
          <w:color w:val="3333FF"/>
        </w:rPr>
        <w:t xml:space="preserve"> en kindertal</w:t>
      </w:r>
      <w:r w:rsidR="001A20CF" w:rsidRPr="00D373A9">
        <w:rPr>
          <w:b/>
          <w:i/>
          <w:color w:val="3333FF"/>
        </w:rPr>
        <w:t xml:space="preserve"> in Vlaanderen</w:t>
      </w:r>
      <w:r w:rsidR="00476CA5" w:rsidRPr="00D373A9">
        <w:rPr>
          <w:b/>
          <w:i/>
          <w:color w:val="3333FF"/>
        </w:rPr>
        <w:t xml:space="preserve"> </w:t>
      </w:r>
      <w:r w:rsidR="00476CA5">
        <w:rPr>
          <w:rStyle w:val="Voetnootmarkering"/>
          <w:b/>
          <w:i/>
          <w:color w:val="3333FF"/>
        </w:rPr>
        <w:footnoteReference w:id="14"/>
      </w:r>
    </w:p>
    <w:p w:rsidR="00D41857" w:rsidRPr="009E5F5F" w:rsidRDefault="00D41857" w:rsidP="0010635A">
      <w:pPr>
        <w:spacing w:after="0"/>
      </w:pPr>
    </w:p>
    <w:p w:rsidR="00FF7EF9" w:rsidRDefault="00FF7EF9" w:rsidP="0010635A">
      <w:pPr>
        <w:spacing w:after="0"/>
      </w:pPr>
      <w:r>
        <w:t xml:space="preserve">Vertrekpunt vormen de </w:t>
      </w:r>
      <w:r w:rsidR="00F94697">
        <w:t>“</w:t>
      </w:r>
      <w:r>
        <w:t>vruchtbaarheidscijfers naar leeftijd van de moeder</w:t>
      </w:r>
      <w:r w:rsidR="00F94697">
        <w:t>” (VCL)</w:t>
      </w:r>
      <w:r>
        <w:t xml:space="preserve">. </w:t>
      </w:r>
      <w:r w:rsidR="00F94697">
        <w:t xml:space="preserve">Hieronder verstaat men de verhouding van: (a) </w:t>
      </w:r>
      <w:r>
        <w:t xml:space="preserve">het aantal geboortes bij </w:t>
      </w:r>
      <w:r w:rsidR="003C1C6B">
        <w:t xml:space="preserve">vrouwen </w:t>
      </w:r>
      <w:r>
        <w:t xml:space="preserve"> met leeftijd L tot </w:t>
      </w:r>
      <w:r w:rsidR="00F94697">
        <w:t>(</w:t>
      </w:r>
      <w:r>
        <w:t>b) het aantal vrouwen met leeftijd L</w:t>
      </w:r>
      <w:r w:rsidR="00F94697">
        <w:t>.</w:t>
      </w:r>
    </w:p>
    <w:p w:rsidR="003353F7" w:rsidRDefault="003353F7" w:rsidP="0010635A">
      <w:pPr>
        <w:spacing w:after="0"/>
      </w:pPr>
    </w:p>
    <w:p w:rsidR="00BB343B" w:rsidRPr="00BB343B" w:rsidRDefault="00BB343B" w:rsidP="0010635A">
      <w:pPr>
        <w:spacing w:after="0"/>
        <w:rPr>
          <w:u w:val="single"/>
        </w:rPr>
      </w:pPr>
      <w:r w:rsidRPr="00BB343B">
        <w:rPr>
          <w:u w:val="single"/>
        </w:rPr>
        <w:t>Evolutie in de observatieperiode</w:t>
      </w:r>
    </w:p>
    <w:p w:rsidR="00BB343B" w:rsidRDefault="00BB343B" w:rsidP="0010635A">
      <w:pPr>
        <w:spacing w:after="0"/>
      </w:pPr>
    </w:p>
    <w:p w:rsidR="00932844" w:rsidRDefault="00B728CF" w:rsidP="0010635A">
      <w:pPr>
        <w:spacing w:after="0"/>
      </w:pPr>
      <w:r>
        <w:t xml:space="preserve">Als synthese voor een bepaald kalenderjaar gebruikt men vaak het “totaal vruchtbaarheidscijfer” (TVC), dit is de som van de cijfers per leeftijdsjaar. </w:t>
      </w:r>
      <w:r w:rsidR="00B5041D">
        <w:t xml:space="preserve">Als de vruchtbaarheidscijfers constant zouden blijven, dan </w:t>
      </w:r>
      <w:r w:rsidR="00924539">
        <w:t xml:space="preserve">geeft </w:t>
      </w:r>
      <w:r w:rsidR="00B5041D">
        <w:t xml:space="preserve">TVC het </w:t>
      </w:r>
      <w:r w:rsidR="00924539">
        <w:t>gemiddeld aantal kinderen d</w:t>
      </w:r>
      <w:r w:rsidR="003C1C6B">
        <w:t>at</w:t>
      </w:r>
      <w:r w:rsidR="00924539">
        <w:t xml:space="preserve"> vrouwen zouden krijgen.</w:t>
      </w:r>
      <w:r w:rsidR="005F5691">
        <w:t xml:space="preserve"> </w:t>
      </w:r>
    </w:p>
    <w:p w:rsidR="007F0DB4" w:rsidRDefault="00924539" w:rsidP="0010635A">
      <w:pPr>
        <w:spacing w:after="0"/>
      </w:pPr>
      <w:r>
        <w:t>Volgende grafiek geeft het verloop van TVC sedert 1980.</w:t>
      </w:r>
    </w:p>
    <w:p w:rsidR="005F5691" w:rsidRDefault="005F5691" w:rsidP="0010635A">
      <w:pPr>
        <w:spacing w:after="0"/>
      </w:pPr>
      <w:r>
        <w:t xml:space="preserve"> </w:t>
      </w:r>
    </w:p>
    <w:tbl>
      <w:tblPr>
        <w:tblStyle w:val="Tabelraster"/>
        <w:tblW w:w="9180" w:type="dxa"/>
        <w:tblInd w:w="-38" w:type="dxa"/>
        <w:tblLayout w:type="fixed"/>
        <w:tblCellMar>
          <w:left w:w="70" w:type="dxa"/>
          <w:right w:w="70" w:type="dxa"/>
        </w:tblCellMar>
        <w:tblLook w:val="04A0" w:firstRow="1" w:lastRow="0" w:firstColumn="1" w:lastColumn="0" w:noHBand="0" w:noVBand="1"/>
      </w:tblPr>
      <w:tblGrid>
        <w:gridCol w:w="6062"/>
        <w:gridCol w:w="3118"/>
      </w:tblGrid>
      <w:tr w:rsidR="001E0B8C" w:rsidTr="00D14BEE">
        <w:tc>
          <w:tcPr>
            <w:tcW w:w="6062" w:type="dxa"/>
          </w:tcPr>
          <w:p w:rsidR="001E0B8C" w:rsidRDefault="00907D42" w:rsidP="00146694">
            <w:pPr>
              <w:spacing w:after="0"/>
            </w:pPr>
            <w:r>
              <w:rPr>
                <w:noProof/>
                <w:lang w:eastAsia="nl-BE"/>
              </w:rPr>
              <w:drawing>
                <wp:inline distT="0" distB="0" distL="0" distR="0" wp14:anchorId="65469D38">
                  <wp:extent cx="3670300" cy="3316605"/>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300" cy="3316605"/>
                          </a:xfrm>
                          <a:prstGeom prst="rect">
                            <a:avLst/>
                          </a:prstGeom>
                          <a:noFill/>
                        </pic:spPr>
                      </pic:pic>
                    </a:graphicData>
                  </a:graphic>
                </wp:inline>
              </w:drawing>
            </w:r>
          </w:p>
        </w:tc>
        <w:tc>
          <w:tcPr>
            <w:tcW w:w="3118" w:type="dxa"/>
          </w:tcPr>
          <w:p w:rsidR="008F7F83" w:rsidRDefault="008F7F83" w:rsidP="00913059">
            <w:pPr>
              <w:spacing w:after="0"/>
              <w:rPr>
                <w:sz w:val="20"/>
                <w:szCs w:val="20"/>
              </w:rPr>
            </w:pPr>
          </w:p>
          <w:p w:rsidR="00913059" w:rsidRPr="00486FB8" w:rsidRDefault="00913059" w:rsidP="00913059">
            <w:pPr>
              <w:spacing w:after="0"/>
              <w:rPr>
                <w:sz w:val="20"/>
                <w:szCs w:val="20"/>
              </w:rPr>
            </w:pPr>
            <w:r w:rsidRPr="00486FB8">
              <w:rPr>
                <w:sz w:val="20"/>
                <w:szCs w:val="20"/>
              </w:rPr>
              <w:t>Het totaal vruchtbaarheidscijfer daalde nog in het begin van de 80’er</w:t>
            </w:r>
            <w:r w:rsidR="006C08B1" w:rsidRPr="00486FB8">
              <w:rPr>
                <w:sz w:val="20"/>
                <w:szCs w:val="20"/>
              </w:rPr>
              <w:t xml:space="preserve"> jaren</w:t>
            </w:r>
            <w:r w:rsidRPr="00486FB8">
              <w:rPr>
                <w:sz w:val="20"/>
                <w:szCs w:val="20"/>
              </w:rPr>
              <w:t xml:space="preserve">, maar toonde daarna een stijgende trend, die de jongste jaren echter is omgebogen. </w:t>
            </w:r>
          </w:p>
          <w:p w:rsidR="00913059" w:rsidRPr="00486FB8" w:rsidRDefault="00913059" w:rsidP="00913059">
            <w:pPr>
              <w:spacing w:after="0"/>
              <w:rPr>
                <w:sz w:val="20"/>
                <w:szCs w:val="20"/>
              </w:rPr>
            </w:pPr>
          </w:p>
          <w:p w:rsidR="004F6FFA" w:rsidRPr="00486FB8" w:rsidRDefault="00913059" w:rsidP="004F6FFA">
            <w:pPr>
              <w:spacing w:after="0"/>
              <w:rPr>
                <w:sz w:val="20"/>
                <w:szCs w:val="20"/>
              </w:rPr>
            </w:pPr>
            <w:r w:rsidRPr="00486FB8">
              <w:rPr>
                <w:sz w:val="20"/>
                <w:szCs w:val="20"/>
              </w:rPr>
              <w:t xml:space="preserve">Die evolutie is echter niet alleen afhankelijk van het kindertal dat men uiteindelijk zal krijgen, maar ook van </w:t>
            </w:r>
            <w:r w:rsidR="004F6FFA" w:rsidRPr="00486FB8">
              <w:rPr>
                <w:sz w:val="20"/>
                <w:szCs w:val="20"/>
              </w:rPr>
              <w:t>de evolutie in de leeftijd waarop men kinderen krijgt.</w:t>
            </w:r>
          </w:p>
          <w:p w:rsidR="00486FB8" w:rsidRPr="00486FB8" w:rsidRDefault="00486FB8" w:rsidP="004F6FFA">
            <w:pPr>
              <w:spacing w:after="0"/>
              <w:rPr>
                <w:sz w:val="20"/>
                <w:szCs w:val="20"/>
              </w:rPr>
            </w:pPr>
          </w:p>
          <w:p w:rsidR="00486FB8" w:rsidRPr="00486FB8" w:rsidRDefault="00486FB8" w:rsidP="004F6FFA">
            <w:pPr>
              <w:spacing w:after="0"/>
              <w:rPr>
                <w:sz w:val="20"/>
                <w:szCs w:val="20"/>
              </w:rPr>
            </w:pPr>
            <w:r w:rsidRPr="00486FB8">
              <w:rPr>
                <w:sz w:val="20"/>
                <w:szCs w:val="20"/>
              </w:rPr>
              <w:t>De sterke stijging tussen 2002 en 2008 is geconcentreerd rond de leeftijd van 33 jaar</w:t>
            </w:r>
            <w:r w:rsidR="008F7F83">
              <w:rPr>
                <w:rStyle w:val="Voetnootmarkering"/>
                <w:sz w:val="20"/>
                <w:szCs w:val="20"/>
              </w:rPr>
              <w:footnoteReference w:id="15"/>
            </w:r>
            <w:r w:rsidRPr="00486FB8">
              <w:rPr>
                <w:sz w:val="20"/>
                <w:szCs w:val="20"/>
              </w:rPr>
              <w:t xml:space="preserve"> en wijst op een inhaalbeweging van uitgestelde geboortes.</w:t>
            </w:r>
          </w:p>
          <w:p w:rsidR="001E0B8C" w:rsidRDefault="00486FB8" w:rsidP="00486FB8">
            <w:pPr>
              <w:spacing w:after="0"/>
            </w:pPr>
            <w:r w:rsidRPr="00486FB8">
              <w:rPr>
                <w:sz w:val="20"/>
                <w:szCs w:val="20"/>
              </w:rPr>
              <w:t>SVR schrijft de recente daling toe aan uitstel.</w:t>
            </w:r>
            <w:r w:rsidR="00913059">
              <w:t xml:space="preserve"> </w:t>
            </w:r>
          </w:p>
        </w:tc>
      </w:tr>
    </w:tbl>
    <w:p w:rsidR="00E90E4A" w:rsidRDefault="00E90E4A" w:rsidP="00146694">
      <w:pPr>
        <w:spacing w:after="0"/>
      </w:pPr>
    </w:p>
    <w:p w:rsidR="007F0DB4" w:rsidRDefault="007F0DB4" w:rsidP="00146694">
      <w:pPr>
        <w:spacing w:after="0"/>
      </w:pPr>
      <w:r>
        <w:t>Dit verloop wordt echter sterk beïnvloed door wijzigingen in de leeftijd waarop men kinderen krijgt.</w:t>
      </w:r>
    </w:p>
    <w:p w:rsidR="007F0DB4" w:rsidRDefault="00932844" w:rsidP="00146694">
      <w:pPr>
        <w:spacing w:after="0"/>
      </w:pPr>
      <w:r>
        <w:t xml:space="preserve">Men kan de cijfers echter herschikken om </w:t>
      </w:r>
      <w:r w:rsidR="001F71DA">
        <w:t xml:space="preserve">de geboortes bij generaties </w:t>
      </w:r>
      <w:r>
        <w:t>te volgen</w:t>
      </w:r>
      <w:r w:rsidR="001F71DA">
        <w:t>.</w:t>
      </w:r>
      <w:r>
        <w:t xml:space="preserve"> Met generatie bedoelt men in de demografie de ‘personen geboren in een zelfde jaar’. </w:t>
      </w:r>
    </w:p>
    <w:p w:rsidR="008B7B0D" w:rsidRDefault="00932844" w:rsidP="00146694">
      <w:pPr>
        <w:spacing w:after="0"/>
      </w:pPr>
      <w:r>
        <w:t>Voor iedere  generatie kan men voor elke leeftijd de bereikte ‘afstamming’ bepalen: hoeveel kinderen zij gemiddeld al bij het bereiken van</w:t>
      </w:r>
      <w:r w:rsidR="008B7B0D">
        <w:t xml:space="preserve"> die</w:t>
      </w:r>
      <w:r>
        <w:t xml:space="preserve"> leeftijd</w:t>
      </w:r>
      <w:r w:rsidR="004D32A1">
        <w:t xml:space="preserve"> hadden</w:t>
      </w:r>
      <w:r>
        <w:t>.</w:t>
      </w:r>
      <w:r w:rsidR="008B7B0D">
        <w:t xml:space="preserve"> Volgende grafiek geeft voor de generaties 1960 tot 19</w:t>
      </w:r>
      <w:r w:rsidR="003C1C6B">
        <w:t>82</w:t>
      </w:r>
      <w:r w:rsidR="008B7B0D">
        <w:t xml:space="preserve"> die afstamming op 30 jaar en voor zover al gekend ook op 35 en 40 jaar.</w:t>
      </w:r>
      <w:r w:rsidR="005529C4">
        <w:t xml:space="preserve"> Slechts 1 % van de afstamming wordt nog gerealiseerd na de leeftijd van 40 jaar.</w:t>
      </w:r>
    </w:p>
    <w:p w:rsidR="00D2114B" w:rsidRDefault="00D2114B" w:rsidP="00146694">
      <w:pPr>
        <w:spacing w:after="0"/>
      </w:pPr>
    </w:p>
    <w:p w:rsidR="004A20D8" w:rsidRDefault="004A20D8" w:rsidP="00146694">
      <w:pPr>
        <w:spacing w:after="0"/>
      </w:pPr>
    </w:p>
    <w:tbl>
      <w:tblPr>
        <w:tblStyle w:val="Tabelraster"/>
        <w:tblW w:w="0" w:type="auto"/>
        <w:tblLook w:val="04A0" w:firstRow="1" w:lastRow="0" w:firstColumn="1" w:lastColumn="0" w:noHBand="0" w:noVBand="1"/>
      </w:tblPr>
      <w:tblGrid>
        <w:gridCol w:w="5976"/>
        <w:gridCol w:w="3312"/>
      </w:tblGrid>
      <w:tr w:rsidR="004A20D8" w:rsidTr="004A20D8">
        <w:tc>
          <w:tcPr>
            <w:tcW w:w="4606" w:type="dxa"/>
          </w:tcPr>
          <w:p w:rsidR="004A20D8" w:rsidRDefault="00907D42" w:rsidP="00146694">
            <w:pPr>
              <w:spacing w:after="0"/>
            </w:pPr>
            <w:r>
              <w:rPr>
                <w:noProof/>
                <w:lang w:eastAsia="nl-BE"/>
              </w:rPr>
              <w:drawing>
                <wp:inline distT="0" distB="0" distL="0" distR="0" wp14:anchorId="4848E505">
                  <wp:extent cx="3651885" cy="3145790"/>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1885" cy="3145790"/>
                          </a:xfrm>
                          <a:prstGeom prst="rect">
                            <a:avLst/>
                          </a:prstGeom>
                          <a:noFill/>
                        </pic:spPr>
                      </pic:pic>
                    </a:graphicData>
                  </a:graphic>
                </wp:inline>
              </w:drawing>
            </w:r>
          </w:p>
        </w:tc>
        <w:tc>
          <w:tcPr>
            <w:tcW w:w="4606" w:type="dxa"/>
          </w:tcPr>
          <w:p w:rsidR="00C44C62" w:rsidRDefault="00C44C62" w:rsidP="00C44C62">
            <w:pPr>
              <w:spacing w:after="0"/>
            </w:pPr>
          </w:p>
          <w:p w:rsidR="00C44C62" w:rsidRDefault="00C44C62" w:rsidP="00C44C62">
            <w:pPr>
              <w:spacing w:after="0"/>
            </w:pPr>
            <w:r>
              <w:t xml:space="preserve">De afstamming bereikt op de leeftijd van 30 jaar </w:t>
            </w:r>
            <w:r w:rsidR="004C5E6C">
              <w:t xml:space="preserve">(blauwe lijn) </w:t>
            </w:r>
            <w:r>
              <w:t>neemt sterk af voor de generaties 1960-1972, maar blijft voor jongere generaties bijna constant.</w:t>
            </w:r>
          </w:p>
          <w:p w:rsidR="00C44C62" w:rsidRDefault="00C44C62" w:rsidP="00C44C62">
            <w:pPr>
              <w:spacing w:after="0"/>
            </w:pPr>
          </w:p>
          <w:p w:rsidR="00C44C62" w:rsidRDefault="00C44C62" w:rsidP="00C44C62">
            <w:pPr>
              <w:spacing w:after="0"/>
            </w:pPr>
            <w:r>
              <w:t>Zelfs voor de generaties 1960-1972 neemt de bereikte afstamming veel minder af naarmate hogere leeftijden worden bekeken.</w:t>
            </w:r>
          </w:p>
          <w:p w:rsidR="00C44C62" w:rsidRDefault="00C44C62" w:rsidP="00C44C62">
            <w:pPr>
              <w:spacing w:after="0"/>
            </w:pPr>
          </w:p>
          <w:p w:rsidR="004A20D8" w:rsidRDefault="00C44C62" w:rsidP="0043600B">
            <w:pPr>
              <w:spacing w:after="0"/>
            </w:pPr>
            <w:r>
              <w:t>De eindafstamming stabiliseert rond 1,75</w:t>
            </w:r>
            <w:r w:rsidR="004C5E6C">
              <w:t xml:space="preserve"> (iets meer dan die op 40 jaar)</w:t>
            </w:r>
            <w:r>
              <w:t xml:space="preserve">.    </w:t>
            </w:r>
          </w:p>
        </w:tc>
      </w:tr>
    </w:tbl>
    <w:p w:rsidR="004A20D8" w:rsidRDefault="004A20D8" w:rsidP="00146694">
      <w:pPr>
        <w:spacing w:after="0"/>
      </w:pPr>
    </w:p>
    <w:p w:rsidR="00D2114B" w:rsidRDefault="00D2114B" w:rsidP="00146694">
      <w:pPr>
        <w:spacing w:after="0"/>
        <w:rPr>
          <w:u w:val="single"/>
        </w:rPr>
      </w:pPr>
    </w:p>
    <w:p w:rsidR="00BB343B" w:rsidRPr="00BB343B" w:rsidRDefault="00BB343B" w:rsidP="00146694">
      <w:pPr>
        <w:spacing w:after="0"/>
        <w:rPr>
          <w:u w:val="single"/>
        </w:rPr>
      </w:pPr>
      <w:r w:rsidRPr="00BB343B">
        <w:rPr>
          <w:u w:val="single"/>
        </w:rPr>
        <w:t>Prognose van SVR</w:t>
      </w:r>
    </w:p>
    <w:p w:rsidR="00BB343B" w:rsidRDefault="00BB343B" w:rsidP="00146694">
      <w:pPr>
        <w:spacing w:after="0"/>
      </w:pPr>
    </w:p>
    <w:p w:rsidR="004557AC" w:rsidRDefault="00C44C62" w:rsidP="00BB343B">
      <w:pPr>
        <w:pStyle w:val="Lijstalinea"/>
        <w:numPr>
          <w:ilvl w:val="0"/>
          <w:numId w:val="14"/>
        </w:numPr>
        <w:spacing w:after="0"/>
        <w:ind w:left="567" w:hanging="567"/>
      </w:pPr>
      <w:r>
        <w:t xml:space="preserve">Aan de hand van een model extrapoleert SVR </w:t>
      </w:r>
      <w:r w:rsidR="004557AC">
        <w:t>de leeftijdsspecifieke vruchtbaarheidscijfers voor de generaties waarvoor de geboortes gekend zijn tot de leeftijd van 30 jaar.</w:t>
      </w:r>
      <w:r w:rsidR="0031080F">
        <w:t xml:space="preserve"> Het gaat om generaties waarvoor wellicht iets meer dan de eindafstamming al bereikt is. </w:t>
      </w:r>
      <w:r w:rsidR="004557AC">
        <w:t xml:space="preserve"> </w:t>
      </w:r>
    </w:p>
    <w:p w:rsidR="004557AC" w:rsidRDefault="004557AC" w:rsidP="00BB343B">
      <w:pPr>
        <w:pStyle w:val="Lijstalinea"/>
        <w:numPr>
          <w:ilvl w:val="0"/>
          <w:numId w:val="14"/>
        </w:numPr>
        <w:spacing w:after="0"/>
        <w:ind w:left="567" w:hanging="567"/>
      </w:pPr>
      <w:r>
        <w:t xml:space="preserve">Voor de jongere generaties </w:t>
      </w:r>
      <w:r w:rsidR="00D848E3">
        <w:t xml:space="preserve">(geboortes nog niet gekend tot de leeftijd van 30 jaar) </w:t>
      </w:r>
      <w:r>
        <w:t>wordt de eindafstamming ongeveer constant gehouden en worden de geboortes met een model verdeeld over de leeftijden.</w:t>
      </w:r>
    </w:p>
    <w:p w:rsidR="00C5475B" w:rsidRDefault="004557AC" w:rsidP="00BB343B">
      <w:pPr>
        <w:pStyle w:val="Lijstalinea"/>
        <w:numPr>
          <w:ilvl w:val="0"/>
          <w:numId w:val="14"/>
        </w:numPr>
        <w:spacing w:after="0"/>
        <w:ind w:left="567" w:hanging="567"/>
      </w:pPr>
      <w:r>
        <w:t xml:space="preserve">De cijfers voor die generaties worden ten slotte terug </w:t>
      </w:r>
      <w:r w:rsidR="00C5475B">
        <w:t>geschikt om ze te gebruiken voor de leeftijdscijfers in de kalenderjaren.</w:t>
      </w:r>
    </w:p>
    <w:p w:rsidR="00A20A5D" w:rsidRDefault="00C5475B" w:rsidP="00146694">
      <w:pPr>
        <w:spacing w:after="0"/>
      </w:pPr>
      <w:r>
        <w:t>Voor het totaal vruchtbaarheidscijfer leidt dit tot een lichte daling in de eerste jaren</w:t>
      </w:r>
      <w:r w:rsidR="00BB343B">
        <w:t xml:space="preserve"> en vervolgens een toename tot iets meer dan 1,80.</w:t>
      </w:r>
    </w:p>
    <w:p w:rsidR="008534DE" w:rsidRDefault="008534DE">
      <w:pPr>
        <w:spacing w:after="0" w:line="240" w:lineRule="auto"/>
      </w:pPr>
      <w:r>
        <w:br w:type="page"/>
      </w:r>
    </w:p>
    <w:p w:rsidR="0064048C" w:rsidRDefault="0064048C" w:rsidP="00D41311">
      <w:pPr>
        <w:spacing w:after="0"/>
        <w:rPr>
          <w:i/>
          <w:color w:val="00B050"/>
        </w:rPr>
      </w:pPr>
    </w:p>
    <w:p w:rsidR="008B7B0D" w:rsidRPr="00D373A9" w:rsidRDefault="008534DE" w:rsidP="00D373A9">
      <w:pPr>
        <w:pStyle w:val="Lijstalinea"/>
        <w:numPr>
          <w:ilvl w:val="0"/>
          <w:numId w:val="36"/>
        </w:numPr>
        <w:spacing w:after="0"/>
        <w:ind w:left="567" w:hanging="567"/>
        <w:rPr>
          <w:b/>
          <w:i/>
          <w:color w:val="3333FF"/>
        </w:rPr>
      </w:pPr>
      <w:r w:rsidRPr="00D373A9">
        <w:rPr>
          <w:b/>
          <w:i/>
          <w:color w:val="3333FF"/>
        </w:rPr>
        <w:t>Lokale verschillen</w:t>
      </w:r>
      <w:r w:rsidR="00B25E77" w:rsidRPr="00D373A9">
        <w:rPr>
          <w:b/>
          <w:i/>
          <w:color w:val="3333FF"/>
        </w:rPr>
        <w:t xml:space="preserve"> voor geboortes</w:t>
      </w:r>
      <w:r w:rsidR="004557AC" w:rsidRPr="00D373A9">
        <w:rPr>
          <w:b/>
          <w:i/>
          <w:color w:val="3333FF"/>
        </w:rPr>
        <w:t xml:space="preserve"> </w:t>
      </w:r>
    </w:p>
    <w:p w:rsidR="00A92415" w:rsidRDefault="00A92415" w:rsidP="000B2BB9">
      <w:pPr>
        <w:spacing w:after="0"/>
        <w:rPr>
          <w:color w:val="FF0000"/>
        </w:rPr>
      </w:pPr>
    </w:p>
    <w:p w:rsidR="000B2BB9" w:rsidRPr="00C955ED" w:rsidRDefault="000B2BB9" w:rsidP="000B2BB9">
      <w:pPr>
        <w:spacing w:after="0"/>
        <w:rPr>
          <w:color w:val="000000" w:themeColor="text1"/>
        </w:rPr>
      </w:pPr>
      <w:r w:rsidRPr="00C955ED">
        <w:rPr>
          <w:color w:val="000000" w:themeColor="text1"/>
        </w:rPr>
        <w:t xml:space="preserve">Op gemeentelijk niveau zijn de </w:t>
      </w:r>
      <w:r w:rsidR="00C955ED" w:rsidRPr="00C955ED">
        <w:rPr>
          <w:color w:val="000000" w:themeColor="text1"/>
        </w:rPr>
        <w:t xml:space="preserve">vruchtbaarheidscijfers </w:t>
      </w:r>
      <w:r w:rsidRPr="00C955ED">
        <w:rPr>
          <w:color w:val="000000" w:themeColor="text1"/>
        </w:rPr>
        <w:t xml:space="preserve">slechts gekend voor de jaren 2010-2012. De prognose van SVR veronderstelt dat voor elke gemeente en voor elke leeftijd het verschil tussen het gemeentelijk cijfer en het Vlaams cijfer </w:t>
      </w:r>
      <w:r w:rsidR="00C91477">
        <w:rPr>
          <w:color w:val="000000" w:themeColor="text1"/>
        </w:rPr>
        <w:t>in de  periode  2014-2023 bijna constant blijft.</w:t>
      </w:r>
      <w:r w:rsidR="00C91477" w:rsidRPr="00C91477">
        <w:rPr>
          <w:rStyle w:val="Voetnootmarkering"/>
          <w:color w:val="000000" w:themeColor="text1"/>
        </w:rPr>
        <w:t xml:space="preserve"> </w:t>
      </w:r>
      <w:r w:rsidR="00C91477" w:rsidRPr="00C955ED">
        <w:rPr>
          <w:rStyle w:val="Voetnootmarkering"/>
          <w:color w:val="000000" w:themeColor="text1"/>
        </w:rPr>
        <w:footnoteReference w:id="16"/>
      </w:r>
      <w:r w:rsidR="00C91477" w:rsidRPr="00C955ED">
        <w:rPr>
          <w:color w:val="000000" w:themeColor="text1"/>
        </w:rPr>
        <w:t xml:space="preserve"> </w:t>
      </w:r>
    </w:p>
    <w:p w:rsidR="008534DE" w:rsidRDefault="008534DE">
      <w:pPr>
        <w:spacing w:after="0" w:line="240" w:lineRule="auto"/>
        <w:rPr>
          <w:color w:val="000000" w:themeColor="text1"/>
        </w:rPr>
      </w:pPr>
    </w:p>
    <w:p w:rsidR="00E078AB" w:rsidRDefault="00F5364C" w:rsidP="000B2BB9">
      <w:pPr>
        <w:spacing w:after="0"/>
        <w:rPr>
          <w:color w:val="000000" w:themeColor="text1"/>
        </w:rPr>
      </w:pPr>
      <w:r>
        <w:rPr>
          <w:color w:val="000000" w:themeColor="text1"/>
        </w:rPr>
        <w:t xml:space="preserve">De website van SVR geeft geen lokale vruchtbaarheidscijfers. </w:t>
      </w:r>
    </w:p>
    <w:p w:rsidR="003B6A4F" w:rsidRDefault="00F5364C" w:rsidP="000B2BB9">
      <w:pPr>
        <w:spacing w:after="0"/>
        <w:rPr>
          <w:color w:val="000000" w:themeColor="text1"/>
        </w:rPr>
      </w:pPr>
      <w:r>
        <w:rPr>
          <w:color w:val="000000" w:themeColor="text1"/>
        </w:rPr>
        <w:t xml:space="preserve">Een globaal beeld van de lokale verschillen is echter te bekomen door voor de jaren 2010-2012 het aantal geboortes te vergelijken met het aantal geboortes indien de vruchtbaarheidscijfers </w:t>
      </w:r>
      <w:r w:rsidR="00CC7942">
        <w:rPr>
          <w:color w:val="000000" w:themeColor="text1"/>
        </w:rPr>
        <w:t xml:space="preserve">naar leeftijd </w:t>
      </w:r>
      <w:r>
        <w:rPr>
          <w:color w:val="000000" w:themeColor="text1"/>
        </w:rPr>
        <w:t>dezelfde zouden zijn als voor Vlaanderen.</w:t>
      </w:r>
      <w:r w:rsidR="003B6A4F">
        <w:rPr>
          <w:rStyle w:val="Voetnootmarkering"/>
          <w:color w:val="000000" w:themeColor="text1"/>
        </w:rPr>
        <w:footnoteReference w:id="17"/>
      </w:r>
      <w:r w:rsidR="00A418A7">
        <w:rPr>
          <w:color w:val="000000" w:themeColor="text1"/>
        </w:rPr>
        <w:t xml:space="preserve"> </w:t>
      </w:r>
    </w:p>
    <w:p w:rsidR="00A418A7" w:rsidRDefault="00A418A7" w:rsidP="000B2BB9">
      <w:pPr>
        <w:spacing w:after="0"/>
        <w:rPr>
          <w:color w:val="000000" w:themeColor="text1"/>
        </w:rPr>
      </w:pPr>
      <w:r>
        <w:rPr>
          <w:color w:val="000000" w:themeColor="text1"/>
        </w:rPr>
        <w:t>Volgende kaart geeft dit beeld. Een cijfer van bijvoorbeeld 110 geeft aan dat het aantal geboortes</w:t>
      </w:r>
    </w:p>
    <w:p w:rsidR="00C955ED" w:rsidRDefault="00A418A7" w:rsidP="000B2BB9">
      <w:pPr>
        <w:spacing w:after="0"/>
        <w:rPr>
          <w:color w:val="000000" w:themeColor="text1"/>
        </w:rPr>
      </w:pPr>
      <w:r>
        <w:rPr>
          <w:color w:val="000000" w:themeColor="text1"/>
        </w:rPr>
        <w:t xml:space="preserve">10 % hoger </w:t>
      </w:r>
      <w:r w:rsidR="00A07C4C">
        <w:rPr>
          <w:color w:val="000000" w:themeColor="text1"/>
        </w:rPr>
        <w:t xml:space="preserve">is </w:t>
      </w:r>
      <w:r>
        <w:rPr>
          <w:color w:val="000000" w:themeColor="text1"/>
        </w:rPr>
        <w:t>dan wat te verwachten zou zijn bij Vlaamse vruchtbaarheidscijfers.</w:t>
      </w:r>
    </w:p>
    <w:p w:rsidR="001D0EB1" w:rsidRDefault="001D0EB1" w:rsidP="000B2BB9">
      <w:pPr>
        <w:spacing w:after="0"/>
        <w:rPr>
          <w:color w:val="000000" w:themeColor="text1"/>
        </w:rPr>
      </w:pPr>
    </w:p>
    <w:p w:rsidR="0064048C" w:rsidRPr="00C955ED" w:rsidRDefault="001D0EB1" w:rsidP="000B2BB9">
      <w:pPr>
        <w:spacing w:after="0"/>
        <w:rPr>
          <w:color w:val="000000" w:themeColor="text1"/>
        </w:rPr>
      </w:pPr>
      <w:r w:rsidRPr="001D0EB1">
        <w:rPr>
          <w:color w:val="000000" w:themeColor="text1"/>
          <w:highlight w:val="lightGray"/>
        </w:rPr>
        <w:t>Kaart  5</w:t>
      </w:r>
    </w:p>
    <w:p w:rsidR="00A418A7" w:rsidRDefault="00A51697" w:rsidP="000B2BB9">
      <w:pPr>
        <w:spacing w:after="0"/>
        <w:rPr>
          <w:color w:val="000000" w:themeColor="text1"/>
        </w:rPr>
      </w:pPr>
      <w:r>
        <w:rPr>
          <w:noProof/>
          <w:color w:val="000000" w:themeColor="text1"/>
          <w:lang w:eastAsia="nl-BE"/>
        </w:rPr>
        <w:drawing>
          <wp:inline distT="0" distB="0" distL="0" distR="0">
            <wp:extent cx="5760720" cy="40728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5_SGR.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64048C" w:rsidRDefault="0064048C">
      <w:pPr>
        <w:spacing w:after="0" w:line="240" w:lineRule="auto"/>
        <w:rPr>
          <w:color w:val="000000" w:themeColor="text1"/>
        </w:rPr>
      </w:pPr>
      <w:r>
        <w:rPr>
          <w:color w:val="000000" w:themeColor="text1"/>
        </w:rPr>
        <w:br w:type="page"/>
      </w:r>
    </w:p>
    <w:p w:rsidR="00452E5C" w:rsidRDefault="00452E5C" w:rsidP="000B2BB9">
      <w:pPr>
        <w:spacing w:after="0"/>
        <w:rPr>
          <w:color w:val="000000" w:themeColor="text1"/>
        </w:rPr>
      </w:pPr>
      <w:r>
        <w:rPr>
          <w:color w:val="000000" w:themeColor="text1"/>
        </w:rPr>
        <w:lastRenderedPageBreak/>
        <w:t>Er zijn grote verschillen tussen gemeenten.</w:t>
      </w:r>
    </w:p>
    <w:p w:rsidR="00C241D9" w:rsidRPr="00452E5C" w:rsidRDefault="00C241D9" w:rsidP="00452E5C">
      <w:pPr>
        <w:pStyle w:val="Lijstalinea"/>
        <w:numPr>
          <w:ilvl w:val="0"/>
          <w:numId w:val="18"/>
        </w:numPr>
        <w:spacing w:after="0"/>
        <w:ind w:left="567" w:hanging="567"/>
        <w:rPr>
          <w:color w:val="000000" w:themeColor="text1"/>
        </w:rPr>
      </w:pPr>
      <w:r w:rsidRPr="00452E5C">
        <w:rPr>
          <w:color w:val="000000" w:themeColor="text1"/>
        </w:rPr>
        <w:t>Voor 2 op 3 gemeenten was het aantal geboortes lager (dan wat zou verwacht worden op basis van Vlaamse vruchtbaarheidscijfers).</w:t>
      </w:r>
      <w:r w:rsidR="00727434">
        <w:rPr>
          <w:color w:val="000000" w:themeColor="text1"/>
        </w:rPr>
        <w:t xml:space="preserve"> Voor 1 op 5 gemeenten in de provincie was het minstens 10 % lager.</w:t>
      </w:r>
    </w:p>
    <w:p w:rsidR="00F267FD" w:rsidRDefault="00C241D9" w:rsidP="001F1E49">
      <w:pPr>
        <w:pStyle w:val="Lijstalinea"/>
        <w:numPr>
          <w:ilvl w:val="0"/>
          <w:numId w:val="18"/>
        </w:numPr>
        <w:spacing w:after="0" w:line="240" w:lineRule="auto"/>
        <w:ind w:left="567" w:hanging="567"/>
        <w:rPr>
          <w:color w:val="000000" w:themeColor="text1"/>
        </w:rPr>
      </w:pPr>
      <w:r w:rsidRPr="001F1E49">
        <w:rPr>
          <w:color w:val="000000" w:themeColor="text1"/>
        </w:rPr>
        <w:t>Voor Antwerpen, Boom, Willebroek</w:t>
      </w:r>
      <w:r w:rsidR="001F1E49" w:rsidRPr="001F1E49">
        <w:rPr>
          <w:color w:val="000000" w:themeColor="text1"/>
        </w:rPr>
        <w:t xml:space="preserve"> en </w:t>
      </w:r>
      <w:r w:rsidRPr="001F1E49">
        <w:rPr>
          <w:color w:val="000000" w:themeColor="text1"/>
        </w:rPr>
        <w:t xml:space="preserve">Mechelen was het aantal geboortes </w:t>
      </w:r>
      <w:r w:rsidR="001F1E49" w:rsidRPr="001F1E49">
        <w:rPr>
          <w:color w:val="000000" w:themeColor="text1"/>
        </w:rPr>
        <w:t>17 tot 22 %</w:t>
      </w:r>
      <w:r w:rsidRPr="001F1E49">
        <w:rPr>
          <w:color w:val="000000" w:themeColor="text1"/>
        </w:rPr>
        <w:t xml:space="preserve"> hoger. </w:t>
      </w:r>
      <w:r w:rsidR="001F1E49" w:rsidRPr="001F1E49">
        <w:rPr>
          <w:color w:val="000000" w:themeColor="text1"/>
        </w:rPr>
        <w:t xml:space="preserve">Het gaat om gemeentes met een zeer hoog percentage inwoners met </w:t>
      </w:r>
      <w:r w:rsidR="00F267FD">
        <w:rPr>
          <w:color w:val="000000" w:themeColor="text1"/>
        </w:rPr>
        <w:t>‘andere</w:t>
      </w:r>
      <w:r w:rsidR="001F1E49" w:rsidRPr="001F1E49">
        <w:rPr>
          <w:color w:val="000000" w:themeColor="text1"/>
        </w:rPr>
        <w:t xml:space="preserve"> origine</w:t>
      </w:r>
      <w:r w:rsidR="00F267FD">
        <w:rPr>
          <w:color w:val="000000" w:themeColor="text1"/>
        </w:rPr>
        <w:t>’ (geboortenationaliteit van de ouders noch Belgisch, noch Nederlands)</w:t>
      </w:r>
      <w:r w:rsidR="001F1E49" w:rsidRPr="001F1E49">
        <w:rPr>
          <w:color w:val="000000" w:themeColor="text1"/>
        </w:rPr>
        <w:t>.</w:t>
      </w:r>
      <w:r w:rsidR="00AC5A36">
        <w:rPr>
          <w:rStyle w:val="Voetnootmarkering"/>
          <w:color w:val="000000" w:themeColor="text1"/>
        </w:rPr>
        <w:footnoteReference w:id="18"/>
      </w:r>
      <w:r w:rsidR="00BD12F8">
        <w:rPr>
          <w:color w:val="000000" w:themeColor="text1"/>
        </w:rPr>
        <w:t xml:space="preserve"> </w:t>
      </w:r>
    </w:p>
    <w:p w:rsidR="001F1E49" w:rsidRDefault="001F1E49" w:rsidP="001F1E49">
      <w:pPr>
        <w:spacing w:after="0" w:line="240" w:lineRule="auto"/>
        <w:rPr>
          <w:color w:val="000000" w:themeColor="text1"/>
        </w:rPr>
      </w:pPr>
    </w:p>
    <w:p w:rsidR="00D64CA4" w:rsidRPr="001F1E49" w:rsidRDefault="00D64CA4" w:rsidP="001F1E49">
      <w:pPr>
        <w:spacing w:after="0" w:line="240" w:lineRule="auto"/>
        <w:rPr>
          <w:color w:val="000000" w:themeColor="text1"/>
        </w:rPr>
      </w:pPr>
    </w:p>
    <w:p w:rsidR="00CE3BA2" w:rsidRDefault="00B55823" w:rsidP="00C34F42">
      <w:pPr>
        <w:spacing w:after="0"/>
        <w:rPr>
          <w:color w:val="000000" w:themeColor="text1"/>
        </w:rPr>
      </w:pPr>
      <w:r>
        <w:rPr>
          <w:color w:val="000000" w:themeColor="text1"/>
        </w:rPr>
        <w:t xml:space="preserve">De projectie van SVR </w:t>
      </w:r>
      <w:r w:rsidR="00FD6DF8">
        <w:rPr>
          <w:color w:val="000000" w:themeColor="text1"/>
        </w:rPr>
        <w:t xml:space="preserve">veronderstelt dat de lokale verschillen in de periode 2014-2023 bijna constant blijven. </w:t>
      </w:r>
      <w:r w:rsidR="000730D6">
        <w:rPr>
          <w:color w:val="000000" w:themeColor="text1"/>
        </w:rPr>
        <w:t>De observatieperiode (2010-2012) is zeer kort.</w:t>
      </w:r>
      <w:r w:rsidR="00BB0356">
        <w:rPr>
          <w:color w:val="000000" w:themeColor="text1"/>
        </w:rPr>
        <w:t xml:space="preserve"> </w:t>
      </w:r>
      <w:r w:rsidR="00CE3BA2">
        <w:rPr>
          <w:color w:val="000000" w:themeColor="text1"/>
        </w:rPr>
        <w:t xml:space="preserve">De voorgaande benadering maakt het mogelijk </w:t>
      </w:r>
      <w:r w:rsidR="00BB0356">
        <w:rPr>
          <w:color w:val="000000" w:themeColor="text1"/>
        </w:rPr>
        <w:t xml:space="preserve">verschillen over een langere periode te onderzoeken. </w:t>
      </w:r>
      <w:r w:rsidR="00CE3BA2">
        <w:rPr>
          <w:color w:val="000000" w:themeColor="text1"/>
        </w:rPr>
        <w:t>Volgende kaart geeft de lokale verschillen voor de jaren</w:t>
      </w:r>
      <w:r w:rsidR="005B0ADC">
        <w:rPr>
          <w:color w:val="000000" w:themeColor="text1"/>
        </w:rPr>
        <w:t xml:space="preserve"> 2003-2012.</w:t>
      </w:r>
    </w:p>
    <w:p w:rsidR="001D0EB1" w:rsidRDefault="001D0EB1" w:rsidP="00C34F42">
      <w:pPr>
        <w:spacing w:after="0"/>
        <w:rPr>
          <w:color w:val="000000" w:themeColor="text1"/>
        </w:rPr>
      </w:pPr>
    </w:p>
    <w:p w:rsidR="00CE3BA2" w:rsidRDefault="001D0EB1" w:rsidP="00C34F42">
      <w:pPr>
        <w:spacing w:after="0"/>
        <w:rPr>
          <w:color w:val="000000" w:themeColor="text1"/>
        </w:rPr>
      </w:pPr>
      <w:r w:rsidRPr="001D0EB1">
        <w:rPr>
          <w:color w:val="000000" w:themeColor="text1"/>
          <w:highlight w:val="lightGray"/>
        </w:rPr>
        <w:t>Kaart 6</w:t>
      </w:r>
    </w:p>
    <w:p w:rsidR="00CE3BA2" w:rsidRDefault="00A51697" w:rsidP="00C34F42">
      <w:pPr>
        <w:spacing w:after="0"/>
        <w:rPr>
          <w:color w:val="000000" w:themeColor="text1"/>
        </w:rPr>
      </w:pPr>
      <w:r>
        <w:rPr>
          <w:noProof/>
          <w:color w:val="000000" w:themeColor="text1"/>
          <w:lang w:eastAsia="nl-BE"/>
        </w:rPr>
        <w:drawing>
          <wp:inline distT="0" distB="0" distL="0" distR="0">
            <wp:extent cx="5760720" cy="407289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6_SGR0312.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7F5644" w:rsidRDefault="007F5644" w:rsidP="00C34F42">
      <w:pPr>
        <w:spacing w:after="0"/>
        <w:rPr>
          <w:color w:val="000000" w:themeColor="text1"/>
        </w:rPr>
      </w:pPr>
      <w:r>
        <w:rPr>
          <w:color w:val="000000" w:themeColor="text1"/>
        </w:rPr>
        <w:t>Niettegenstaande  een grote gelijkenis met voorgaande kaart zijn er ook grote verschillen.</w:t>
      </w:r>
    </w:p>
    <w:p w:rsidR="005671B6" w:rsidRPr="005671B6" w:rsidRDefault="00B0180B" w:rsidP="005671B6">
      <w:pPr>
        <w:spacing w:after="0"/>
        <w:rPr>
          <w:color w:val="000000" w:themeColor="text1"/>
        </w:rPr>
      </w:pPr>
      <w:r w:rsidRPr="005671B6">
        <w:rPr>
          <w:color w:val="000000" w:themeColor="text1"/>
        </w:rPr>
        <w:t>Op basis van een langere observatieperiode zou de raming van het aantal geboortes</w:t>
      </w:r>
      <w:r w:rsidR="005671B6">
        <w:rPr>
          <w:color w:val="000000" w:themeColor="text1"/>
        </w:rPr>
        <w:t xml:space="preserve"> bijvoorbeeld</w:t>
      </w:r>
    </w:p>
    <w:p w:rsidR="00107DDE" w:rsidRPr="005671B6" w:rsidRDefault="00272E0A" w:rsidP="005671B6">
      <w:pPr>
        <w:pStyle w:val="Lijstalinea"/>
        <w:numPr>
          <w:ilvl w:val="0"/>
          <w:numId w:val="22"/>
        </w:numPr>
        <w:spacing w:after="0"/>
        <w:ind w:left="567" w:hanging="567"/>
        <w:rPr>
          <w:color w:val="000000" w:themeColor="text1"/>
        </w:rPr>
      </w:pPr>
      <w:r w:rsidRPr="005671B6">
        <w:rPr>
          <w:color w:val="000000" w:themeColor="text1"/>
        </w:rPr>
        <w:t xml:space="preserve">minstens </w:t>
      </w:r>
      <w:r w:rsidR="00107DDE" w:rsidRPr="005671B6">
        <w:rPr>
          <w:color w:val="000000" w:themeColor="text1"/>
        </w:rPr>
        <w:t>5</w:t>
      </w:r>
      <w:r w:rsidRPr="005671B6">
        <w:rPr>
          <w:color w:val="000000" w:themeColor="text1"/>
        </w:rPr>
        <w:t xml:space="preserve"> % lager zijn voor </w:t>
      </w:r>
      <w:r w:rsidR="00107DDE" w:rsidRPr="005671B6">
        <w:rPr>
          <w:color w:val="000000" w:themeColor="text1"/>
        </w:rPr>
        <w:t>9 op 70 gemeenten</w:t>
      </w:r>
      <w:r w:rsidR="00BB066D">
        <w:rPr>
          <w:color w:val="000000" w:themeColor="text1"/>
        </w:rPr>
        <w:t xml:space="preserve"> (</w:t>
      </w:r>
      <w:r w:rsidR="00107DDE" w:rsidRPr="005671B6">
        <w:rPr>
          <w:color w:val="000000" w:themeColor="text1"/>
        </w:rPr>
        <w:t>vooral in het arrondissement Turnhout</w:t>
      </w:r>
      <w:r w:rsidR="00BB066D">
        <w:rPr>
          <w:color w:val="000000" w:themeColor="text1"/>
        </w:rPr>
        <w:t>)</w:t>
      </w:r>
    </w:p>
    <w:p w:rsidR="005068E9" w:rsidRPr="005671B6" w:rsidRDefault="005671B6" w:rsidP="005671B6">
      <w:pPr>
        <w:pStyle w:val="Lijstalinea"/>
        <w:numPr>
          <w:ilvl w:val="0"/>
          <w:numId w:val="22"/>
        </w:numPr>
        <w:spacing w:after="0"/>
        <w:ind w:left="567" w:hanging="567"/>
        <w:rPr>
          <w:color w:val="000000" w:themeColor="text1"/>
        </w:rPr>
      </w:pPr>
      <w:r w:rsidRPr="005671B6">
        <w:rPr>
          <w:color w:val="000000" w:themeColor="text1"/>
        </w:rPr>
        <w:t>m</w:t>
      </w:r>
      <w:r w:rsidR="00107DDE" w:rsidRPr="005671B6">
        <w:rPr>
          <w:color w:val="000000" w:themeColor="text1"/>
        </w:rPr>
        <w:t>instens 5 % hoger zijn voor 13 op 70 gemeenten</w:t>
      </w:r>
      <w:r w:rsidR="00BB066D">
        <w:rPr>
          <w:color w:val="000000" w:themeColor="text1"/>
        </w:rPr>
        <w:t>.</w:t>
      </w:r>
    </w:p>
    <w:p w:rsidR="00D35C4C" w:rsidRDefault="00D35C4C" w:rsidP="00C34F42">
      <w:pPr>
        <w:spacing w:after="0"/>
        <w:rPr>
          <w:color w:val="000000" w:themeColor="text1"/>
        </w:rPr>
      </w:pPr>
    </w:p>
    <w:p w:rsidR="005068E9" w:rsidRPr="00C34F42" w:rsidRDefault="00B55823" w:rsidP="00C34F42">
      <w:pPr>
        <w:spacing w:after="0"/>
        <w:rPr>
          <w:color w:val="000000" w:themeColor="text1"/>
        </w:rPr>
      </w:pPr>
      <w:r>
        <w:rPr>
          <w:color w:val="000000" w:themeColor="text1"/>
        </w:rPr>
        <w:t xml:space="preserve"> </w:t>
      </w:r>
    </w:p>
    <w:p w:rsidR="00A845A4" w:rsidRPr="00B96D31" w:rsidRDefault="00B96D31" w:rsidP="00B96D31">
      <w:pPr>
        <w:spacing w:after="0"/>
        <w:ind w:left="567" w:hanging="567"/>
        <w:rPr>
          <w:color w:val="FF0000"/>
        </w:rPr>
      </w:pPr>
      <w:r>
        <w:rPr>
          <w:b/>
          <w:i/>
          <w:color w:val="3333FF"/>
        </w:rPr>
        <w:lastRenderedPageBreak/>
        <w:t>c)</w:t>
      </w:r>
      <w:r>
        <w:rPr>
          <w:b/>
          <w:i/>
          <w:color w:val="3333FF"/>
        </w:rPr>
        <w:tab/>
      </w:r>
      <w:r w:rsidR="000F53CA" w:rsidRPr="00B96D31">
        <w:rPr>
          <w:b/>
          <w:i/>
          <w:color w:val="3333FF"/>
        </w:rPr>
        <w:t>de opvolging van generaties</w:t>
      </w:r>
      <w:r w:rsidR="006A2862" w:rsidRPr="00B96D31">
        <w:rPr>
          <w:b/>
          <w:i/>
          <w:color w:val="3333FF"/>
        </w:rPr>
        <w:t>, een alternatieve benadering</w:t>
      </w:r>
    </w:p>
    <w:p w:rsidR="001E6067" w:rsidRDefault="001E6067" w:rsidP="000B2BB9">
      <w:pPr>
        <w:spacing w:after="0"/>
      </w:pPr>
    </w:p>
    <w:p w:rsidR="001E6067" w:rsidRDefault="00B321CE" w:rsidP="000B2BB9">
      <w:pPr>
        <w:spacing w:after="0"/>
      </w:pPr>
      <w:r w:rsidRPr="00847630">
        <w:t>Zijn de vruchtbaarheidscijfers naar leeftijd ge</w:t>
      </w:r>
      <w:r w:rsidR="00847630" w:rsidRPr="00847630">
        <w:t>raamd</w:t>
      </w:r>
      <w:r w:rsidR="007F3FBA" w:rsidRPr="00847630">
        <w:t xml:space="preserve">, </w:t>
      </w:r>
      <w:r w:rsidRPr="00847630">
        <w:t xml:space="preserve">en </w:t>
      </w:r>
      <w:r w:rsidR="001D3F23">
        <w:t xml:space="preserve">zijn </w:t>
      </w:r>
      <w:r w:rsidRPr="00847630">
        <w:t xml:space="preserve">ook het aantal vrouwen naar leeftijd </w:t>
      </w:r>
      <w:r w:rsidR="001D3F23">
        <w:t xml:space="preserve">bepaald, </w:t>
      </w:r>
      <w:r w:rsidRPr="00847630">
        <w:t xml:space="preserve">dan kunnen de aantallen geboortes </w:t>
      </w:r>
      <w:r w:rsidR="007D4BC2" w:rsidRPr="00847630">
        <w:t xml:space="preserve">voor 2013-2024 </w:t>
      </w:r>
      <w:r w:rsidRPr="00847630">
        <w:t xml:space="preserve">worden berekend. </w:t>
      </w:r>
    </w:p>
    <w:p w:rsidR="006974F4" w:rsidRDefault="001E6067" w:rsidP="000B2BB9">
      <w:pPr>
        <w:spacing w:after="0"/>
      </w:pPr>
      <w:r w:rsidRPr="001E6067">
        <w:t>Om het aantal 0-</w:t>
      </w:r>
      <w:r w:rsidR="00B25E76">
        <w:t>1</w:t>
      </w:r>
      <w:r w:rsidRPr="001E6067">
        <w:t>9 jarigen in 2024 te bepalen dient ook nog rekening gehouden met migratie en sterfte tussen geboorte en het bereiken van de leeftijdsgroep 0-9 jaar</w:t>
      </w:r>
      <w:r w:rsidR="00B31C2E">
        <w:t xml:space="preserve"> en ook voor de overgang van </w:t>
      </w:r>
      <w:r w:rsidRPr="001E6067">
        <w:t>de 0-9 jarigen in 2014 naar de 10-19 jarigen in 2024.</w:t>
      </w:r>
      <w:r>
        <w:t xml:space="preserve"> </w:t>
      </w:r>
      <w:r w:rsidR="00B31C2E">
        <w:t>Die berekeningen steunen op dezelfde hypotheses als voor 20-59 jarigen.</w:t>
      </w:r>
      <w:r w:rsidR="002E56F4">
        <w:t xml:space="preserve"> </w:t>
      </w:r>
    </w:p>
    <w:p w:rsidR="007D4BC2" w:rsidRDefault="007D4BC2" w:rsidP="000B2BB9">
      <w:pPr>
        <w:spacing w:after="0"/>
        <w:rPr>
          <w:color w:val="FF0000"/>
        </w:rPr>
      </w:pPr>
    </w:p>
    <w:p w:rsidR="004F5EF1" w:rsidRPr="00773D74" w:rsidRDefault="002D7270" w:rsidP="000B2BB9">
      <w:pPr>
        <w:spacing w:after="0"/>
      </w:pPr>
      <w:r w:rsidRPr="00773D74">
        <w:t xml:space="preserve">Men kan echter ook een koppeling maken tussen de  0-19 jarigen en </w:t>
      </w:r>
      <w:r w:rsidR="004F5EF1" w:rsidRPr="00773D74">
        <w:t xml:space="preserve">de </w:t>
      </w:r>
      <w:r w:rsidR="00042AC1">
        <w:t>2</w:t>
      </w:r>
      <w:r w:rsidR="004F5EF1" w:rsidRPr="00773D74">
        <w:t xml:space="preserve">0-59 jarigen of de leeftijdsgroep van </w:t>
      </w:r>
      <w:r w:rsidRPr="00773D74">
        <w:t>hun oude</w:t>
      </w:r>
      <w:r w:rsidR="001A1624" w:rsidRPr="00773D74">
        <w:t>r</w:t>
      </w:r>
      <w:r w:rsidRPr="00773D74">
        <w:t>s.</w:t>
      </w:r>
      <w:r w:rsidR="001A1624" w:rsidRPr="00773D74">
        <w:t xml:space="preserve"> </w:t>
      </w:r>
    </w:p>
    <w:p w:rsidR="0076783E" w:rsidRPr="00773D74" w:rsidRDefault="001A1624" w:rsidP="000B2BB9">
      <w:pPr>
        <w:spacing w:after="0"/>
      </w:pPr>
      <w:r w:rsidRPr="00773D74">
        <w:t xml:space="preserve">De vraag wordt dan: is het aantal jongeren voldoende om hun ouders in aantal op te volgen. </w:t>
      </w:r>
    </w:p>
    <w:p w:rsidR="0076783E" w:rsidRPr="00773D74" w:rsidRDefault="004F5EF1" w:rsidP="000B2BB9">
      <w:pPr>
        <w:spacing w:after="0"/>
      </w:pPr>
      <w:r w:rsidRPr="00773D74">
        <w:t>Voor opvolging dient het aantal in de eerste leeftijdsgroep van 20 jaar minstens de helft te bedragen van het aantal van de tweede leeftijdsgroep van 40 jaar.</w:t>
      </w:r>
    </w:p>
    <w:p w:rsidR="008E79AB" w:rsidRPr="00773D74" w:rsidRDefault="008E79AB" w:rsidP="000B2BB9">
      <w:pPr>
        <w:spacing w:after="0"/>
      </w:pPr>
    </w:p>
    <w:p w:rsidR="00A12320" w:rsidRDefault="008E79AB" w:rsidP="00A12320">
      <w:pPr>
        <w:spacing w:after="0"/>
        <w:rPr>
          <w:color w:val="FF0000"/>
        </w:rPr>
      </w:pPr>
      <w:r w:rsidRPr="00773D74">
        <w:t>Het aantal 0-19 jarigen in procent van de helft van het aantal 20-59 jarigen geeft dus een index voor de opvolging van generaties.</w:t>
      </w:r>
      <w:r w:rsidR="007C2FC0" w:rsidRPr="007C2FC0">
        <w:rPr>
          <w:rStyle w:val="Voetnootmarkering"/>
        </w:rPr>
        <w:t xml:space="preserve"> </w:t>
      </w:r>
      <w:r w:rsidR="007C2FC0" w:rsidRPr="00773D74">
        <w:rPr>
          <w:rStyle w:val="Voetnootmarkering"/>
        </w:rPr>
        <w:footnoteReference w:id="19"/>
      </w:r>
      <w:r w:rsidR="007C2FC0" w:rsidRPr="00A12320">
        <w:rPr>
          <w:color w:val="FF0000"/>
        </w:rPr>
        <w:t xml:space="preserve"> </w:t>
      </w:r>
      <w:r w:rsidRPr="00773D74">
        <w:t xml:space="preserve"> </w:t>
      </w:r>
    </w:p>
    <w:p w:rsidR="00A12320" w:rsidRPr="00A12320" w:rsidRDefault="00A12320" w:rsidP="00A12320">
      <w:pPr>
        <w:spacing w:after="0"/>
      </w:pPr>
      <w:r w:rsidRPr="00A12320">
        <w:t>Volgende kaart geeft voor 2014 de index voor de gemeenten in de provincie Antwerpen.</w:t>
      </w:r>
    </w:p>
    <w:p w:rsidR="00A12320" w:rsidRDefault="00A12320" w:rsidP="000B2BB9">
      <w:pPr>
        <w:spacing w:after="0"/>
        <w:rPr>
          <w:highlight w:val="lightGray"/>
        </w:rPr>
      </w:pPr>
    </w:p>
    <w:p w:rsidR="00F14114" w:rsidRPr="00773D74" w:rsidRDefault="00A12320" w:rsidP="000B2BB9">
      <w:pPr>
        <w:spacing w:after="0"/>
      </w:pPr>
      <w:r w:rsidRPr="00A12320">
        <w:rPr>
          <w:highlight w:val="lightGray"/>
        </w:rPr>
        <w:t>Kaart 7</w:t>
      </w:r>
    </w:p>
    <w:p w:rsidR="001A5AF8" w:rsidRDefault="00971356" w:rsidP="000B2BB9">
      <w:pPr>
        <w:spacing w:after="0"/>
        <w:rPr>
          <w:color w:val="FF0000"/>
        </w:rPr>
      </w:pPr>
      <w:r>
        <w:rPr>
          <w:noProof/>
          <w:color w:val="FF0000"/>
          <w:lang w:eastAsia="nl-BE"/>
        </w:rPr>
        <w:drawing>
          <wp:inline distT="0" distB="0" distL="0" distR="0">
            <wp:extent cx="5760720" cy="40728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7_GO10_14.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212E48" w:rsidRPr="008262D6" w:rsidRDefault="00A75F00" w:rsidP="000B2BB9">
      <w:pPr>
        <w:spacing w:after="0"/>
      </w:pPr>
      <w:r>
        <w:lastRenderedPageBreak/>
        <w:t>Uit deze kaart en v</w:t>
      </w:r>
      <w:r w:rsidR="00212E48" w:rsidRPr="008262D6">
        <w:t xml:space="preserve">ergelijking met kaart 6 </w:t>
      </w:r>
      <w:r w:rsidR="008438FA">
        <w:t>(</w:t>
      </w:r>
      <w:r w:rsidR="00212E48" w:rsidRPr="008262D6">
        <w:t xml:space="preserve">over de </w:t>
      </w:r>
      <w:r w:rsidR="008438FA">
        <w:t>index voor vruchtbaarheidscijfers) blijkt onder meer het volgende</w:t>
      </w:r>
      <w:r w:rsidR="00212E48" w:rsidRPr="008262D6">
        <w:t>.</w:t>
      </w:r>
    </w:p>
    <w:p w:rsidR="00735A9F" w:rsidRPr="008262D6" w:rsidRDefault="00212E48" w:rsidP="00942807">
      <w:pPr>
        <w:pStyle w:val="Lijstalinea"/>
        <w:numPr>
          <w:ilvl w:val="0"/>
          <w:numId w:val="23"/>
        </w:numPr>
        <w:spacing w:after="0"/>
        <w:ind w:left="567" w:hanging="567"/>
      </w:pPr>
      <w:r w:rsidRPr="008262D6">
        <w:t xml:space="preserve">De </w:t>
      </w:r>
      <w:r w:rsidR="00A75F00">
        <w:t xml:space="preserve">indicator voor </w:t>
      </w:r>
      <w:r w:rsidRPr="008262D6">
        <w:t xml:space="preserve">opvolging van generaties is voor stad Antwerpen hoger </w:t>
      </w:r>
      <w:r w:rsidR="00C55A35" w:rsidRPr="008262D6">
        <w:t>dan voor Vlaanderen (87 versus 81</w:t>
      </w:r>
      <w:r w:rsidR="00A75F00">
        <w:t xml:space="preserve"> of 7 % hoger</w:t>
      </w:r>
      <w:r w:rsidR="00C55A35" w:rsidRPr="008262D6">
        <w:t>)</w:t>
      </w:r>
      <w:r w:rsidR="00942807" w:rsidRPr="008262D6">
        <w:t>,</w:t>
      </w:r>
      <w:r w:rsidR="00C55A35" w:rsidRPr="008262D6">
        <w:t xml:space="preserve">  maar wel veel minder dan voor  de </w:t>
      </w:r>
      <w:r w:rsidR="00A75F00">
        <w:t xml:space="preserve">index voor </w:t>
      </w:r>
      <w:proofErr w:type="spellStart"/>
      <w:r w:rsidR="008438FA">
        <w:t>vruchtbaarheids</w:t>
      </w:r>
      <w:r w:rsidR="001D3F23">
        <w:t>-</w:t>
      </w:r>
      <w:r w:rsidR="008438FA">
        <w:t>cijfers</w:t>
      </w:r>
      <w:proofErr w:type="spellEnd"/>
      <w:r w:rsidR="00A75F00">
        <w:t xml:space="preserve"> (kaart 6</w:t>
      </w:r>
      <w:r w:rsidR="008438FA">
        <w:t xml:space="preserve">: </w:t>
      </w:r>
      <w:r w:rsidR="00C55A35" w:rsidRPr="008262D6">
        <w:t>122 versus 100</w:t>
      </w:r>
      <w:r w:rsidR="008438FA">
        <w:t xml:space="preserve"> of 22 % hoger</w:t>
      </w:r>
      <w:r w:rsidR="00C55A35" w:rsidRPr="008262D6">
        <w:t>).</w:t>
      </w:r>
    </w:p>
    <w:p w:rsidR="00C10558" w:rsidRPr="008262D6" w:rsidRDefault="00C10558" w:rsidP="00942807">
      <w:pPr>
        <w:pStyle w:val="Lijstalinea"/>
        <w:numPr>
          <w:ilvl w:val="0"/>
          <w:numId w:val="23"/>
        </w:numPr>
        <w:spacing w:after="0"/>
        <w:ind w:left="567" w:hanging="567"/>
      </w:pPr>
      <w:r w:rsidRPr="008262D6">
        <w:t xml:space="preserve">Veel gemeenten in de Antwerpse periferie scoren laag voor </w:t>
      </w:r>
      <w:r w:rsidR="008438FA">
        <w:t>vruchtbaarheidscijfers</w:t>
      </w:r>
      <w:r w:rsidRPr="008262D6">
        <w:t>, maar niet voor de opvolging van generaties.</w:t>
      </w:r>
    </w:p>
    <w:p w:rsidR="00942807" w:rsidRPr="008262D6" w:rsidRDefault="005A00BF" w:rsidP="00942807">
      <w:pPr>
        <w:pStyle w:val="Lijstalinea"/>
        <w:numPr>
          <w:ilvl w:val="0"/>
          <w:numId w:val="23"/>
        </w:numPr>
        <w:spacing w:after="0"/>
        <w:ind w:left="567" w:hanging="567"/>
      </w:pPr>
      <w:r w:rsidRPr="008262D6">
        <w:t xml:space="preserve">De index voor opvolging van generaties is </w:t>
      </w:r>
      <w:r w:rsidR="00721401" w:rsidRPr="008262D6">
        <w:t>zeer laag voor veel gemeenten in het zuiden van het arrondissement Turnhout en aansluitend in het oosten van het arrondissement Mechelen.</w:t>
      </w:r>
    </w:p>
    <w:p w:rsidR="00D64CAB" w:rsidRDefault="00D64CAB" w:rsidP="000B2BB9">
      <w:pPr>
        <w:spacing w:after="0"/>
      </w:pPr>
    </w:p>
    <w:p w:rsidR="00A27B1A" w:rsidRDefault="00942807" w:rsidP="000B2BB9">
      <w:pPr>
        <w:spacing w:after="0"/>
      </w:pPr>
      <w:r w:rsidRPr="008262D6">
        <w:t xml:space="preserve">De opvolging van generaties wordt </w:t>
      </w:r>
      <w:r w:rsidR="00C02137">
        <w:t xml:space="preserve">dus </w:t>
      </w:r>
      <w:r w:rsidRPr="008262D6">
        <w:t>niet alleen bepaald door de geboortes</w:t>
      </w:r>
      <w:r w:rsidR="00C02137">
        <w:t>,</w:t>
      </w:r>
      <w:r w:rsidRPr="008262D6">
        <w:t xml:space="preserve"> maar ook door migratie van </w:t>
      </w:r>
      <w:r w:rsidR="00C02137">
        <w:t xml:space="preserve">gezinnen met </w:t>
      </w:r>
      <w:r w:rsidRPr="008262D6">
        <w:t xml:space="preserve">kinderen. </w:t>
      </w:r>
    </w:p>
    <w:p w:rsidR="00A27B1A" w:rsidRDefault="00942807" w:rsidP="000B2BB9">
      <w:pPr>
        <w:spacing w:after="0"/>
      </w:pPr>
      <w:r w:rsidRPr="008262D6">
        <w:t>Door die migratie verliest stad Antwerpen jongeren en wint de periferie jongeren bij</w:t>
      </w:r>
      <w:r w:rsidR="008262D6" w:rsidRPr="008262D6">
        <w:t xml:space="preserve">. </w:t>
      </w:r>
    </w:p>
    <w:p w:rsidR="005A00BF" w:rsidRPr="008262D6" w:rsidRDefault="008262D6" w:rsidP="000B2BB9">
      <w:pPr>
        <w:spacing w:after="0"/>
      </w:pPr>
      <w:r w:rsidRPr="008262D6">
        <w:t>In tegenstelling tot de Antwerpse periferie worden lage geboortecijfers in het zuiden van de Kempen niet gecompenseerd door migratie.</w:t>
      </w:r>
      <w:r w:rsidR="00A27B1A">
        <w:t xml:space="preserve"> Er is wel netto-inwijking van 20-59 jarigen (zie kaart 2)</w:t>
      </w:r>
      <w:r w:rsidR="00707906">
        <w:t xml:space="preserve"> maar de netto-inwijking is er niet sterker voor kinderen.</w:t>
      </w:r>
    </w:p>
    <w:p w:rsidR="00B978F8" w:rsidRDefault="00B978F8" w:rsidP="000B2BB9">
      <w:pPr>
        <w:spacing w:after="0"/>
        <w:rPr>
          <w:color w:val="000000" w:themeColor="text1"/>
        </w:rPr>
      </w:pPr>
    </w:p>
    <w:p w:rsidR="00B978F8" w:rsidRDefault="00B978F8" w:rsidP="00EF69EB">
      <w:pPr>
        <w:spacing w:line="240" w:lineRule="auto"/>
        <w:rPr>
          <w:color w:val="000000" w:themeColor="text1"/>
        </w:rPr>
      </w:pPr>
      <w:r w:rsidRPr="00B978F8">
        <w:rPr>
          <w:color w:val="000000" w:themeColor="text1"/>
          <w:u w:val="single"/>
        </w:rPr>
        <w:t>Evolutie</w:t>
      </w:r>
    </w:p>
    <w:p w:rsidR="00A12320" w:rsidRDefault="00440848" w:rsidP="00807CC2">
      <w:pPr>
        <w:spacing w:after="0"/>
        <w:rPr>
          <w:color w:val="FF0000"/>
        </w:rPr>
      </w:pPr>
      <w:r w:rsidRPr="006E5F52">
        <w:rPr>
          <w:color w:val="000000" w:themeColor="text1"/>
        </w:rPr>
        <w:t>Volgende grafiek geeft voor Vlaanderen de evolutie van die index sedert 20 jaar (1994-2014) en de raming tot 2024 en wel in blauw die van SVR en in rood een alternatief verloop.</w:t>
      </w:r>
      <w:r w:rsidR="00F36815">
        <w:rPr>
          <w:color w:val="000000" w:themeColor="text1"/>
        </w:rPr>
        <w:t xml:space="preserve"> In 2014 was de index 81 %. Er waren dus 1 op 5 jongeren te weinig voor de opvolging. </w:t>
      </w:r>
    </w:p>
    <w:p w:rsidR="00A12320" w:rsidRDefault="00A12320" w:rsidP="000B2BB9">
      <w:pPr>
        <w:spacing w:after="0"/>
        <w:rPr>
          <w:color w:val="FF0000"/>
        </w:rPr>
      </w:pPr>
    </w:p>
    <w:tbl>
      <w:tblPr>
        <w:tblStyle w:val="Tabelraster"/>
        <w:tblW w:w="9250" w:type="dxa"/>
        <w:tblCellMar>
          <w:left w:w="70" w:type="dxa"/>
          <w:right w:w="70" w:type="dxa"/>
        </w:tblCellMar>
        <w:tblLook w:val="04A0" w:firstRow="1" w:lastRow="0" w:firstColumn="1" w:lastColumn="0" w:noHBand="0" w:noVBand="1"/>
      </w:tblPr>
      <w:tblGrid>
        <w:gridCol w:w="5459"/>
        <w:gridCol w:w="3791"/>
      </w:tblGrid>
      <w:tr w:rsidR="005E4236" w:rsidTr="00462D79">
        <w:tc>
          <w:tcPr>
            <w:tcW w:w="5456" w:type="dxa"/>
          </w:tcPr>
          <w:p w:rsidR="005E4236" w:rsidRDefault="007E540C" w:rsidP="000B2BB9">
            <w:pPr>
              <w:spacing w:after="0"/>
              <w:rPr>
                <w:color w:val="FF0000"/>
              </w:rPr>
            </w:pPr>
            <w:r>
              <w:rPr>
                <w:noProof/>
                <w:color w:val="FF0000"/>
                <w:lang w:eastAsia="nl-BE"/>
              </w:rPr>
              <w:drawing>
                <wp:inline distT="0" distB="0" distL="0" distR="0" wp14:anchorId="63C8F407" wp14:editId="2F468BCF">
                  <wp:extent cx="3377565" cy="307276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7565" cy="3072765"/>
                          </a:xfrm>
                          <a:prstGeom prst="rect">
                            <a:avLst/>
                          </a:prstGeom>
                          <a:noFill/>
                        </pic:spPr>
                      </pic:pic>
                    </a:graphicData>
                  </a:graphic>
                </wp:inline>
              </w:drawing>
            </w:r>
          </w:p>
        </w:tc>
        <w:tc>
          <w:tcPr>
            <w:tcW w:w="3794" w:type="dxa"/>
          </w:tcPr>
          <w:p w:rsidR="008576AB" w:rsidRPr="006E5F52" w:rsidRDefault="00BC16FD" w:rsidP="00E86C56">
            <w:pPr>
              <w:spacing w:line="264" w:lineRule="auto"/>
              <w:rPr>
                <w:color w:val="000000" w:themeColor="text1"/>
              </w:rPr>
            </w:pPr>
            <w:r w:rsidRPr="006E5F52">
              <w:rPr>
                <w:color w:val="000000" w:themeColor="text1"/>
              </w:rPr>
              <w:t xml:space="preserve">In het verloop </w:t>
            </w:r>
            <w:r w:rsidR="00C02137">
              <w:rPr>
                <w:color w:val="000000" w:themeColor="text1"/>
              </w:rPr>
              <w:t xml:space="preserve">- eerst dalend, vervolgens stijgend - </w:t>
            </w:r>
            <w:r w:rsidRPr="006E5F52">
              <w:rPr>
                <w:color w:val="000000" w:themeColor="text1"/>
              </w:rPr>
              <w:t xml:space="preserve">herkent men </w:t>
            </w:r>
            <w:r w:rsidR="007D44C9" w:rsidRPr="006E5F52">
              <w:rPr>
                <w:color w:val="000000" w:themeColor="text1"/>
              </w:rPr>
              <w:t xml:space="preserve">dit </w:t>
            </w:r>
            <w:r w:rsidRPr="006E5F52">
              <w:rPr>
                <w:color w:val="000000" w:themeColor="text1"/>
              </w:rPr>
              <w:t>van de geboortecijfers (zie grafiek over TVC)</w:t>
            </w:r>
            <w:r w:rsidR="008576AB" w:rsidRPr="006E5F52">
              <w:rPr>
                <w:color w:val="000000" w:themeColor="text1"/>
              </w:rPr>
              <w:t xml:space="preserve">, maar sterk afgezwakt en met vertraging </w:t>
            </w:r>
            <w:r w:rsidR="007D44C9" w:rsidRPr="006E5F52">
              <w:rPr>
                <w:color w:val="000000" w:themeColor="text1"/>
              </w:rPr>
              <w:t>(</w:t>
            </w:r>
            <w:r w:rsidR="008576AB" w:rsidRPr="006E5F52">
              <w:rPr>
                <w:color w:val="000000" w:themeColor="text1"/>
              </w:rPr>
              <w:t>daar de index bepaald wordt</w:t>
            </w:r>
            <w:r w:rsidR="007D44C9" w:rsidRPr="006E5F52">
              <w:rPr>
                <w:color w:val="000000" w:themeColor="text1"/>
              </w:rPr>
              <w:t xml:space="preserve"> </w:t>
            </w:r>
            <w:r w:rsidR="004E6051" w:rsidRPr="006E5F52">
              <w:rPr>
                <w:color w:val="000000" w:themeColor="text1"/>
              </w:rPr>
              <w:t xml:space="preserve">door de geboortes in </w:t>
            </w:r>
            <w:r w:rsidR="007D44C9" w:rsidRPr="006E5F52">
              <w:rPr>
                <w:color w:val="000000" w:themeColor="text1"/>
              </w:rPr>
              <w:t xml:space="preserve">de </w:t>
            </w:r>
            <w:r w:rsidR="004E6051" w:rsidRPr="006E5F52">
              <w:rPr>
                <w:color w:val="000000" w:themeColor="text1"/>
              </w:rPr>
              <w:t>20 voorgaande jaren</w:t>
            </w:r>
            <w:r w:rsidR="007D44C9" w:rsidRPr="006E5F52">
              <w:rPr>
                <w:color w:val="000000" w:themeColor="text1"/>
              </w:rPr>
              <w:t>)</w:t>
            </w:r>
            <w:r w:rsidR="004E6051" w:rsidRPr="006E5F52">
              <w:rPr>
                <w:color w:val="000000" w:themeColor="text1"/>
              </w:rPr>
              <w:t>.</w:t>
            </w:r>
          </w:p>
          <w:p w:rsidR="005E4236" w:rsidRPr="006E5F52" w:rsidRDefault="00B471F0" w:rsidP="00E86C56">
            <w:pPr>
              <w:spacing w:line="264" w:lineRule="auto"/>
              <w:rPr>
                <w:color w:val="000000" w:themeColor="text1"/>
              </w:rPr>
            </w:pPr>
            <w:r w:rsidRPr="006E5F52">
              <w:rPr>
                <w:color w:val="000000" w:themeColor="text1"/>
              </w:rPr>
              <w:t>De projectie van SVR houdt een veel sterkere stijging in voor 2014-</w:t>
            </w:r>
            <w:r w:rsidR="001D3F23">
              <w:rPr>
                <w:color w:val="000000" w:themeColor="text1"/>
              </w:rPr>
              <w:t>20</w:t>
            </w:r>
            <w:r w:rsidRPr="006E5F52">
              <w:rPr>
                <w:color w:val="000000" w:themeColor="text1"/>
              </w:rPr>
              <w:t>24 dan voor 2004-</w:t>
            </w:r>
            <w:r w:rsidR="001D3F23">
              <w:rPr>
                <w:color w:val="000000" w:themeColor="text1"/>
              </w:rPr>
              <w:t>20</w:t>
            </w:r>
            <w:r w:rsidRPr="006E5F52">
              <w:rPr>
                <w:color w:val="000000" w:themeColor="text1"/>
              </w:rPr>
              <w:t>14.</w:t>
            </w:r>
          </w:p>
          <w:p w:rsidR="006E5F52" w:rsidRPr="006E5F52" w:rsidRDefault="00482C19" w:rsidP="00E86C56">
            <w:pPr>
              <w:spacing w:after="0" w:line="264" w:lineRule="auto"/>
              <w:rPr>
                <w:color w:val="000000" w:themeColor="text1"/>
              </w:rPr>
            </w:pPr>
            <w:r w:rsidRPr="006E5F52">
              <w:rPr>
                <w:color w:val="000000" w:themeColor="text1"/>
              </w:rPr>
              <w:t xml:space="preserve">Het alternatief steunt </w:t>
            </w:r>
            <w:r w:rsidR="006E5F52" w:rsidRPr="006E5F52">
              <w:rPr>
                <w:color w:val="000000" w:themeColor="text1"/>
              </w:rPr>
              <w:t>op het gelijk blijven van het stij</w:t>
            </w:r>
            <w:r w:rsidR="006E5F52">
              <w:rPr>
                <w:color w:val="000000" w:themeColor="text1"/>
              </w:rPr>
              <w:t>gings</w:t>
            </w:r>
            <w:r w:rsidR="006E5F52" w:rsidRPr="006E5F52">
              <w:rPr>
                <w:color w:val="000000" w:themeColor="text1"/>
              </w:rPr>
              <w:t xml:space="preserve">ritme, en is te verantwoorden door de </w:t>
            </w:r>
            <w:r w:rsidRPr="006E5F52">
              <w:rPr>
                <w:color w:val="000000" w:themeColor="text1"/>
              </w:rPr>
              <w:t>evolutie van de geboortes in de jaren 2008-2012</w:t>
            </w:r>
            <w:r w:rsidR="006E5F52" w:rsidRPr="006E5F52">
              <w:rPr>
                <w:color w:val="000000" w:themeColor="text1"/>
              </w:rPr>
              <w:t>.</w:t>
            </w:r>
          </w:p>
          <w:p w:rsidR="00B471F0" w:rsidRPr="006E5F52" w:rsidRDefault="00841BD8" w:rsidP="00E86C56">
            <w:pPr>
              <w:spacing w:after="0" w:line="264" w:lineRule="auto"/>
              <w:rPr>
                <w:color w:val="000000" w:themeColor="text1"/>
              </w:rPr>
            </w:pPr>
            <w:r>
              <w:rPr>
                <w:color w:val="000000" w:themeColor="text1"/>
              </w:rPr>
              <w:t xml:space="preserve">Door de </w:t>
            </w:r>
            <w:r w:rsidR="006E5F52" w:rsidRPr="006E5F52">
              <w:rPr>
                <w:color w:val="000000" w:themeColor="text1"/>
              </w:rPr>
              <w:t xml:space="preserve">onzekere evolutie </w:t>
            </w:r>
            <w:r>
              <w:rPr>
                <w:color w:val="000000" w:themeColor="text1"/>
              </w:rPr>
              <w:t>is werken met twee scenario’s wenselijk.</w:t>
            </w:r>
            <w:r w:rsidR="00B471F0" w:rsidRPr="006E5F52">
              <w:rPr>
                <w:color w:val="000000" w:themeColor="text1"/>
              </w:rPr>
              <w:t xml:space="preserve"> </w:t>
            </w:r>
          </w:p>
        </w:tc>
      </w:tr>
    </w:tbl>
    <w:p w:rsidR="00184730" w:rsidRDefault="00184730" w:rsidP="000B2BB9">
      <w:pPr>
        <w:spacing w:after="0"/>
        <w:rPr>
          <w:color w:val="FF0000"/>
        </w:rPr>
      </w:pPr>
    </w:p>
    <w:p w:rsidR="00F36815" w:rsidRDefault="006A2862" w:rsidP="00EF69EB">
      <w:pPr>
        <w:spacing w:after="0"/>
        <w:rPr>
          <w:color w:val="000000" w:themeColor="text1"/>
        </w:rPr>
      </w:pPr>
      <w:r w:rsidRPr="00807CC2">
        <w:rPr>
          <w:color w:val="000000" w:themeColor="text1"/>
        </w:rPr>
        <w:t xml:space="preserve">Zoals SVR werkt met de hypothese dat de lokale verschillen in vruchtbaarheidscijfers (quasi) constant blijven, kan in deze benadering worden aangenomen dat de lokale verschillen in opvolging van generaties constant blijft. De evolutie van het aantal 0-19 jarigen wordt dan bepaald door de evolutie van die index en de evolutie van de </w:t>
      </w:r>
      <w:r w:rsidR="00807CC2">
        <w:rPr>
          <w:color w:val="000000" w:themeColor="text1"/>
        </w:rPr>
        <w:t>leeftijdsgroepen van de ouders</w:t>
      </w:r>
      <w:r w:rsidRPr="00807CC2">
        <w:rPr>
          <w:color w:val="000000" w:themeColor="text1"/>
        </w:rPr>
        <w:t>.</w:t>
      </w:r>
    </w:p>
    <w:p w:rsidR="00830437" w:rsidRDefault="00830437" w:rsidP="00F36815">
      <w:pPr>
        <w:spacing w:after="0"/>
        <w:rPr>
          <w:b/>
          <w:i/>
          <w:color w:val="3333FF"/>
        </w:rPr>
      </w:pPr>
      <w:r>
        <w:rPr>
          <w:b/>
          <w:i/>
          <w:color w:val="3333FF"/>
        </w:rPr>
        <w:br w:type="page"/>
      </w:r>
    </w:p>
    <w:p w:rsidR="00FD3B73" w:rsidRPr="00BB343B" w:rsidRDefault="00807CC2" w:rsidP="00FD3B73">
      <w:pPr>
        <w:spacing w:after="0"/>
        <w:rPr>
          <w:b/>
          <w:i/>
        </w:rPr>
      </w:pPr>
      <w:r>
        <w:rPr>
          <w:b/>
          <w:i/>
          <w:color w:val="3333FF"/>
        </w:rPr>
        <w:lastRenderedPageBreak/>
        <w:t>d</w:t>
      </w:r>
      <w:r w:rsidR="00FD3B73" w:rsidRPr="00BB343B">
        <w:rPr>
          <w:b/>
          <w:i/>
          <w:color w:val="3333FF"/>
        </w:rPr>
        <w:t>)</w:t>
      </w:r>
      <w:r w:rsidR="00FD3B73" w:rsidRPr="00BB343B">
        <w:rPr>
          <w:b/>
          <w:i/>
        </w:rPr>
        <w:tab/>
      </w:r>
      <w:r w:rsidR="00FD3B73" w:rsidRPr="00BB343B">
        <w:rPr>
          <w:b/>
          <w:i/>
          <w:color w:val="3333FF"/>
        </w:rPr>
        <w:t>de evolutie van het aantal 0-19 jarigen</w:t>
      </w:r>
    </w:p>
    <w:p w:rsidR="00FD3B73" w:rsidRDefault="00FD3B73" w:rsidP="000B2BB9">
      <w:pPr>
        <w:spacing w:after="0"/>
        <w:rPr>
          <w:color w:val="FF0000"/>
        </w:rPr>
      </w:pPr>
    </w:p>
    <w:p w:rsidR="005C54AF" w:rsidRDefault="0025022C" w:rsidP="005C54AF">
      <w:pPr>
        <w:spacing w:after="0"/>
      </w:pPr>
      <w:r w:rsidRPr="00162869">
        <w:t>Volgende kaart</w:t>
      </w:r>
      <w:r w:rsidR="00162869" w:rsidRPr="00162869">
        <w:t xml:space="preserve"> geeft voor de gemeenten in de provincie Antwerpen en voor de periode 2014-2024 de procentuele evolutie van de 0-19 jarigen</w:t>
      </w:r>
      <w:r w:rsidR="00DC178E">
        <w:t xml:space="preserve"> volgens de projectie van SVR</w:t>
      </w:r>
      <w:r w:rsidR="00EE050A">
        <w:t xml:space="preserve"> met een sterke toename voor de opvolging van generaties</w:t>
      </w:r>
      <w:r w:rsidR="00162869" w:rsidRPr="00162869">
        <w:t>.</w:t>
      </w:r>
      <w:r w:rsidR="00162869">
        <w:t xml:space="preserve"> </w:t>
      </w:r>
    </w:p>
    <w:p w:rsidR="007D6C9F" w:rsidRDefault="007D6C9F" w:rsidP="005C54AF">
      <w:pPr>
        <w:spacing w:after="0"/>
      </w:pPr>
    </w:p>
    <w:p w:rsidR="00B14FA1" w:rsidRDefault="007D6C9F" w:rsidP="005C54AF">
      <w:pPr>
        <w:spacing w:after="0"/>
      </w:pPr>
      <w:r>
        <w:t>V</w:t>
      </w:r>
      <w:r w:rsidR="00DC178E">
        <w:t xml:space="preserve">oor het geheel van de provincie </w:t>
      </w:r>
      <w:r>
        <w:t xml:space="preserve">is er </w:t>
      </w:r>
      <w:r w:rsidR="00DC178E">
        <w:t>een toename met ruim 8 %, tegenover een afname met 1 % voor de 20-59 jarigen (zie kaart 3)</w:t>
      </w:r>
      <w:r>
        <w:t xml:space="preserve">. </w:t>
      </w:r>
    </w:p>
    <w:p w:rsidR="00B14FA1" w:rsidRPr="00B14FA1" w:rsidRDefault="00B14FA1" w:rsidP="005C54AF">
      <w:pPr>
        <w:spacing w:after="0"/>
        <w:rPr>
          <w:color w:val="000000" w:themeColor="text1"/>
        </w:rPr>
      </w:pPr>
      <w:r>
        <w:t xml:space="preserve">Voor stad Antwerpen is de toename zelfs 20 % </w:t>
      </w:r>
      <w:r w:rsidRPr="00B14FA1">
        <w:rPr>
          <w:color w:val="000000" w:themeColor="text1"/>
        </w:rPr>
        <w:t>tegenover 8 % voor de 20-59 jarigen.</w:t>
      </w:r>
    </w:p>
    <w:p w:rsidR="000A5643" w:rsidRPr="007D6C9F" w:rsidRDefault="000A5643" w:rsidP="005C54AF">
      <w:pPr>
        <w:spacing w:after="0"/>
        <w:rPr>
          <w:color w:val="000000" w:themeColor="text1"/>
        </w:rPr>
      </w:pPr>
      <w:r w:rsidRPr="007D6C9F">
        <w:rPr>
          <w:color w:val="000000" w:themeColor="text1"/>
        </w:rPr>
        <w:t>Voor 1 op 3 gemeenten (in rood) is de toename groter dan 5 %.</w:t>
      </w:r>
    </w:p>
    <w:p w:rsidR="00600AC1" w:rsidRDefault="000A5643" w:rsidP="000A5643">
      <w:pPr>
        <w:spacing w:after="0"/>
        <w:rPr>
          <w:color w:val="000000" w:themeColor="text1"/>
        </w:rPr>
      </w:pPr>
      <w:r w:rsidRPr="007D6C9F">
        <w:rPr>
          <w:color w:val="000000" w:themeColor="text1"/>
        </w:rPr>
        <w:t>Voor slechts 1 op 10 gemeenten (in blauw) is de afname sterker dan 5 %</w:t>
      </w:r>
      <w:r w:rsidR="007D6C9F" w:rsidRPr="007D6C9F">
        <w:rPr>
          <w:color w:val="000000" w:themeColor="text1"/>
        </w:rPr>
        <w:t xml:space="preserve"> (tegenover meer dan de helft van de gemeenten voor de evolutie van de 20-59 jarigen)</w:t>
      </w:r>
      <w:r w:rsidRPr="007D6C9F">
        <w:rPr>
          <w:color w:val="000000" w:themeColor="text1"/>
        </w:rPr>
        <w:t>.</w:t>
      </w:r>
    </w:p>
    <w:p w:rsidR="00600AC1" w:rsidRDefault="00600AC1" w:rsidP="000A5643">
      <w:pPr>
        <w:spacing w:after="0"/>
        <w:rPr>
          <w:color w:val="000000" w:themeColor="text1"/>
        </w:rPr>
      </w:pPr>
    </w:p>
    <w:p w:rsidR="00C46FA2" w:rsidRPr="007D6C9F" w:rsidRDefault="00600AC1" w:rsidP="000A5643">
      <w:pPr>
        <w:spacing w:after="0"/>
        <w:rPr>
          <w:noProof/>
          <w:color w:val="000000" w:themeColor="text1"/>
          <w:lang w:eastAsia="nl-BE"/>
        </w:rPr>
      </w:pPr>
      <w:r w:rsidRPr="00600AC1">
        <w:rPr>
          <w:color w:val="000000" w:themeColor="text1"/>
          <w:highlight w:val="lightGray"/>
        </w:rPr>
        <w:t>Kaart 8</w:t>
      </w:r>
      <w:r w:rsidR="00162869" w:rsidRPr="007D6C9F">
        <w:rPr>
          <w:noProof/>
          <w:color w:val="000000" w:themeColor="text1"/>
          <w:lang w:eastAsia="nl-BE"/>
        </w:rPr>
        <w:t xml:space="preserve"> </w:t>
      </w:r>
    </w:p>
    <w:p w:rsidR="008B7B0D" w:rsidRDefault="007E540C" w:rsidP="00146694">
      <w:pPr>
        <w:spacing w:after="0"/>
      </w:pPr>
      <w:r>
        <w:rPr>
          <w:noProof/>
          <w:lang w:eastAsia="nl-BE"/>
        </w:rPr>
        <w:drawing>
          <wp:inline distT="0" distB="0" distL="0" distR="0">
            <wp:extent cx="5760720" cy="40728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8_L0019_1424_svr.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8E501B" w:rsidRDefault="008E501B" w:rsidP="00146694">
      <w:pPr>
        <w:spacing w:after="0"/>
      </w:pPr>
    </w:p>
    <w:p w:rsidR="008E501B" w:rsidRDefault="00EE050A" w:rsidP="00146694">
      <w:pPr>
        <w:spacing w:after="0"/>
      </w:pPr>
      <w:r>
        <w:t>Volgende kaart geeft de te verwachten evolutie op basis van het alternatief scenario waarbij de opvolging van generaties slechts even sterk toeneemt als in de periode 2004-2014. Er zijn zeer grote verschillen met vorig scenario</w:t>
      </w:r>
      <w:r w:rsidR="00830437">
        <w:t xml:space="preserve"> (kaart 8, projectie SVR)</w:t>
      </w:r>
      <w:r>
        <w:t>.</w:t>
      </w:r>
    </w:p>
    <w:p w:rsidR="009A0888" w:rsidRDefault="009A0888" w:rsidP="00146694">
      <w:pPr>
        <w:spacing w:after="0"/>
      </w:pPr>
    </w:p>
    <w:p w:rsidR="009A0888" w:rsidRDefault="009A0888" w:rsidP="00146694">
      <w:pPr>
        <w:spacing w:after="0"/>
      </w:pPr>
      <w:r>
        <w:t>Voor de provincie blijft het aantal 0-19 jarigen constant</w:t>
      </w:r>
      <w:r w:rsidR="001F28FF">
        <w:t xml:space="preserve"> (-0,1 %)</w:t>
      </w:r>
      <w:r w:rsidR="00CE7CED">
        <w:t xml:space="preserve">, </w:t>
      </w:r>
      <w:r>
        <w:t>tegenover een toename met 8</w:t>
      </w:r>
      <w:r w:rsidR="001F28FF">
        <w:t>,4</w:t>
      </w:r>
      <w:r>
        <w:t xml:space="preserve"> %.</w:t>
      </w:r>
    </w:p>
    <w:p w:rsidR="00CE7CED" w:rsidRDefault="00093A33" w:rsidP="00146694">
      <w:pPr>
        <w:spacing w:after="0"/>
      </w:pPr>
      <w:r>
        <w:t>Daarenboven is voor de gemeenten het verschil tussen beide scenario’s zeer ongelijk</w:t>
      </w:r>
      <w:r w:rsidR="00B94DC3">
        <w:t xml:space="preserve"> en zijn voor het alternatieve scenario de verschillen tussen gemeenten veel kleiner.</w:t>
      </w:r>
      <w:r>
        <w:rPr>
          <w:rStyle w:val="Voetnootmarkering"/>
        </w:rPr>
        <w:footnoteReference w:id="20"/>
      </w:r>
    </w:p>
    <w:p w:rsidR="009A0888" w:rsidRDefault="009A0888" w:rsidP="00146694">
      <w:pPr>
        <w:spacing w:after="0"/>
      </w:pPr>
      <w:r>
        <w:lastRenderedPageBreak/>
        <w:t xml:space="preserve"> </w:t>
      </w:r>
      <w:r w:rsidR="00600AC1" w:rsidRPr="00600AC1">
        <w:rPr>
          <w:highlight w:val="lightGray"/>
        </w:rPr>
        <w:t>Kaart 9</w:t>
      </w:r>
    </w:p>
    <w:p w:rsidR="00A20D7A" w:rsidRDefault="00B12D80" w:rsidP="00146694">
      <w:pPr>
        <w:spacing w:after="0"/>
      </w:pPr>
      <w:r>
        <w:rPr>
          <w:noProof/>
          <w:lang w:eastAsia="nl-BE"/>
        </w:rPr>
        <w:drawing>
          <wp:inline distT="0" distB="0" distL="0" distR="0">
            <wp:extent cx="5760720" cy="40728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9_E0019_1424_alt.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CB4CB5" w:rsidRDefault="00CB4CB5" w:rsidP="00146694">
      <w:pPr>
        <w:spacing w:after="0"/>
      </w:pPr>
    </w:p>
    <w:p w:rsidR="00A20D7A" w:rsidRDefault="00CB4CB5" w:rsidP="00146694">
      <w:pPr>
        <w:spacing w:after="0"/>
      </w:pPr>
      <w:r w:rsidRPr="00CB4CB5">
        <w:t xml:space="preserve">De bedoeling is </w:t>
      </w:r>
      <w:r>
        <w:t xml:space="preserve">ook </w:t>
      </w:r>
      <w:r w:rsidRPr="00CB4CB5">
        <w:t xml:space="preserve">hier </w:t>
      </w:r>
      <w:r w:rsidR="005C5A57">
        <w:t xml:space="preserve">- zoals voor de 20-59 jarigen - </w:t>
      </w:r>
      <w:r w:rsidRPr="00CB4CB5">
        <w:t xml:space="preserve">niet de ene berekening te verkiezen boven de andere, wel met twee alternatieve redelijke hypotheses de onzekerheid van iedere </w:t>
      </w:r>
      <w:r w:rsidR="005C5A57">
        <w:t xml:space="preserve">projectie van de </w:t>
      </w:r>
      <w:r w:rsidRPr="00CB4CB5">
        <w:t>bevolking te illustreren</w:t>
      </w:r>
      <w:r w:rsidR="007D49D0">
        <w:t>, en te onderzoeken voor welke gemeenten de resultaten sterk uiteenlopen.</w:t>
      </w:r>
    </w:p>
    <w:p w:rsidR="00CB4CB5" w:rsidRDefault="00CB4CB5" w:rsidP="00146694">
      <w:pPr>
        <w:spacing w:after="0"/>
      </w:pPr>
    </w:p>
    <w:p w:rsidR="006F5C61" w:rsidRDefault="005C5A57" w:rsidP="00146694">
      <w:pPr>
        <w:spacing w:after="0"/>
      </w:pPr>
      <w:r>
        <w:t xml:space="preserve">In het voorgaande werd dan nog geen rekening gehouden met de  onzekerheid over de hypotheses </w:t>
      </w:r>
      <w:r w:rsidR="00B12D80">
        <w:t xml:space="preserve">betreffende </w:t>
      </w:r>
      <w:r>
        <w:t xml:space="preserve">de evolutie van de leeftijdsgroep van de ouders (de 20-59 jarigen). </w:t>
      </w:r>
    </w:p>
    <w:p w:rsidR="00CB4CB5" w:rsidRDefault="005C5A57" w:rsidP="00146694">
      <w:pPr>
        <w:spacing w:after="0"/>
      </w:pPr>
      <w:r>
        <w:t xml:space="preserve">Voor </w:t>
      </w:r>
      <w:r w:rsidR="006F5C61">
        <w:t xml:space="preserve">bijvoorbeeld stad Antwerpen </w:t>
      </w:r>
      <w:r w:rsidR="00367C32">
        <w:t>leidt dit tot zeer uiteenlopende verwachtingen</w:t>
      </w:r>
      <w:r w:rsidR="00AF1A46">
        <w:t>.</w:t>
      </w:r>
      <w:r w:rsidR="00367C32">
        <w:rPr>
          <w:rStyle w:val="Voetnootmarkering"/>
        </w:rPr>
        <w:footnoteReference w:id="21"/>
      </w:r>
      <w:r w:rsidR="007F4DC2">
        <w:t xml:space="preserve"> </w:t>
      </w:r>
    </w:p>
    <w:p w:rsidR="00922686" w:rsidRDefault="00922686" w:rsidP="00146694">
      <w:pPr>
        <w:spacing w:after="0"/>
      </w:pPr>
    </w:p>
    <w:p w:rsidR="00F845E1" w:rsidRDefault="00AF1A46" w:rsidP="00146694">
      <w:pPr>
        <w:spacing w:after="0"/>
      </w:pPr>
      <w:r>
        <w:t xml:space="preserve">Voor een kortere periode van bijvoorbeeld 5 jaar zullen uiteenlopende scenario’s wel veel meer gelijkende resultaten geven. </w:t>
      </w:r>
    </w:p>
    <w:p w:rsidR="00742DF4" w:rsidRDefault="00600AC1" w:rsidP="00146694">
      <w:pPr>
        <w:spacing w:after="0"/>
      </w:pPr>
      <w:r>
        <w:t xml:space="preserve">Bij een volgende prognose volgens de methode gebruikt door SVR zullen gemeentelijke </w:t>
      </w:r>
      <w:proofErr w:type="spellStart"/>
      <w:r>
        <w:t>vruchtbaar</w:t>
      </w:r>
      <w:r w:rsidR="00F845E1">
        <w:t>-</w:t>
      </w:r>
      <w:r>
        <w:t>heidscijfers</w:t>
      </w:r>
      <w:proofErr w:type="spellEnd"/>
      <w:r>
        <w:t xml:space="preserve"> naar leeftijd ook beschikbaar zijn voor meer jaren. </w:t>
      </w:r>
      <w:r w:rsidR="00742DF4">
        <w:t>Als SVR voor de huidige projectie had kunnen werken met een langere observatieperiode, dan zouden beide scenario’s een veel grotere gelijkenis tonen.</w:t>
      </w:r>
    </w:p>
    <w:p w:rsidR="00742DF4" w:rsidRDefault="00742DF4">
      <w:pPr>
        <w:spacing w:after="0" w:line="240" w:lineRule="auto"/>
        <w:rPr>
          <w:b/>
          <w:color w:val="C00000"/>
          <w:sz w:val="24"/>
          <w:szCs w:val="24"/>
        </w:rPr>
      </w:pPr>
      <w:r>
        <w:rPr>
          <w:b/>
          <w:color w:val="C00000"/>
          <w:sz w:val="24"/>
          <w:szCs w:val="24"/>
        </w:rPr>
        <w:br w:type="page"/>
      </w:r>
    </w:p>
    <w:p w:rsidR="00742DF4" w:rsidRDefault="00742DF4" w:rsidP="00742DF4">
      <w:pPr>
        <w:pStyle w:val="Lijstalinea"/>
        <w:numPr>
          <w:ilvl w:val="0"/>
          <w:numId w:val="1"/>
        </w:numPr>
        <w:spacing w:after="0"/>
        <w:ind w:left="567" w:hanging="567"/>
        <w:rPr>
          <w:b/>
          <w:color w:val="C00000"/>
          <w:sz w:val="24"/>
          <w:szCs w:val="24"/>
        </w:rPr>
      </w:pPr>
      <w:r>
        <w:rPr>
          <w:b/>
          <w:color w:val="C00000"/>
          <w:sz w:val="24"/>
          <w:szCs w:val="24"/>
        </w:rPr>
        <w:lastRenderedPageBreak/>
        <w:t>Bevolking op pensioenleeftijd (60 jaar en ouder)</w:t>
      </w:r>
    </w:p>
    <w:p w:rsidR="00074EEC" w:rsidRDefault="00074EEC" w:rsidP="00074EEC">
      <w:pPr>
        <w:spacing w:after="0"/>
        <w:rPr>
          <w:b/>
          <w:color w:val="C00000"/>
          <w:sz w:val="24"/>
          <w:szCs w:val="24"/>
        </w:rPr>
      </w:pPr>
    </w:p>
    <w:p w:rsidR="00953180" w:rsidRPr="005F42CC" w:rsidRDefault="00953180" w:rsidP="00074EEC">
      <w:pPr>
        <w:spacing w:after="0"/>
        <w:rPr>
          <w:color w:val="000000" w:themeColor="text1"/>
        </w:rPr>
      </w:pPr>
      <w:r w:rsidRPr="005F42CC">
        <w:rPr>
          <w:color w:val="000000" w:themeColor="text1"/>
        </w:rPr>
        <w:t>Het aantal inwoners 60 jaar en ouder in 2024 is afhankelijk van:</w:t>
      </w:r>
    </w:p>
    <w:p w:rsidR="00953180" w:rsidRPr="005F42CC" w:rsidRDefault="00953180" w:rsidP="005F42CC">
      <w:pPr>
        <w:pStyle w:val="Lijstalinea"/>
        <w:numPr>
          <w:ilvl w:val="0"/>
          <w:numId w:val="26"/>
        </w:numPr>
        <w:spacing w:after="0"/>
        <w:ind w:left="567" w:hanging="567"/>
        <w:rPr>
          <w:color w:val="000000" w:themeColor="text1"/>
        </w:rPr>
      </w:pPr>
      <w:r w:rsidRPr="005F42CC">
        <w:rPr>
          <w:color w:val="000000" w:themeColor="text1"/>
        </w:rPr>
        <w:t>De aantallen in de  leeftijdsgroepen 50 jaar en ouder in 2014</w:t>
      </w:r>
    </w:p>
    <w:p w:rsidR="00F467A6" w:rsidRPr="005F42CC" w:rsidRDefault="00953180" w:rsidP="005F42CC">
      <w:pPr>
        <w:pStyle w:val="Lijstalinea"/>
        <w:numPr>
          <w:ilvl w:val="0"/>
          <w:numId w:val="26"/>
        </w:numPr>
        <w:spacing w:after="0"/>
        <w:ind w:left="567" w:hanging="567"/>
        <w:rPr>
          <w:color w:val="000000" w:themeColor="text1"/>
        </w:rPr>
      </w:pPr>
      <w:r w:rsidRPr="005F42CC">
        <w:rPr>
          <w:color w:val="000000" w:themeColor="text1"/>
        </w:rPr>
        <w:t xml:space="preserve">De </w:t>
      </w:r>
      <w:r w:rsidR="002C7021" w:rsidRPr="005F42CC">
        <w:rPr>
          <w:color w:val="000000" w:themeColor="text1"/>
        </w:rPr>
        <w:t xml:space="preserve">hypotheses over </w:t>
      </w:r>
      <w:r w:rsidRPr="005F42CC">
        <w:rPr>
          <w:color w:val="000000" w:themeColor="text1"/>
        </w:rPr>
        <w:t>sterfte, inwijking en uitwijking</w:t>
      </w:r>
      <w:r w:rsidR="00F467A6" w:rsidRPr="005F42CC">
        <w:rPr>
          <w:color w:val="000000" w:themeColor="text1"/>
        </w:rPr>
        <w:t xml:space="preserve"> in die groepen bij de overgang naar 2024.</w:t>
      </w:r>
    </w:p>
    <w:p w:rsidR="002C7021" w:rsidRPr="005F42CC" w:rsidRDefault="002C7021" w:rsidP="00074EEC">
      <w:pPr>
        <w:spacing w:after="0"/>
        <w:rPr>
          <w:color w:val="000000" w:themeColor="text1"/>
        </w:rPr>
      </w:pPr>
      <w:r w:rsidRPr="005F42CC">
        <w:rPr>
          <w:color w:val="000000" w:themeColor="text1"/>
        </w:rPr>
        <w:t>Zelfs zonder dalen van de sterfterisico’s zal d</w:t>
      </w:r>
      <w:r w:rsidR="005F42CC" w:rsidRPr="005F42CC">
        <w:rPr>
          <w:color w:val="000000" w:themeColor="text1"/>
        </w:rPr>
        <w:t>e bevolking ouder dan 60 jaar sterk toenemen als louter gevolg van de leeftijdsverdeling.</w:t>
      </w:r>
    </w:p>
    <w:p w:rsidR="00F467A6" w:rsidRDefault="00F467A6" w:rsidP="00074EEC">
      <w:pPr>
        <w:spacing w:after="0"/>
        <w:rPr>
          <w:color w:val="FF0000"/>
        </w:rPr>
      </w:pPr>
    </w:p>
    <w:p w:rsidR="00523155" w:rsidRDefault="00523155" w:rsidP="00074EEC">
      <w:pPr>
        <w:spacing w:after="0"/>
        <w:rPr>
          <w:color w:val="FF0000"/>
        </w:rPr>
      </w:pPr>
    </w:p>
    <w:p w:rsidR="002C7021" w:rsidRPr="002C7021" w:rsidRDefault="002F4620" w:rsidP="002C7021">
      <w:pPr>
        <w:pStyle w:val="Lijstalinea"/>
        <w:numPr>
          <w:ilvl w:val="0"/>
          <w:numId w:val="25"/>
        </w:numPr>
        <w:spacing w:after="0"/>
        <w:ind w:left="567" w:hanging="567"/>
        <w:rPr>
          <w:b/>
          <w:i/>
          <w:color w:val="3333FF"/>
        </w:rPr>
      </w:pPr>
      <w:r>
        <w:rPr>
          <w:b/>
          <w:i/>
          <w:color w:val="3333FF"/>
        </w:rPr>
        <w:t>Hypotheses over migratie en sterfte</w:t>
      </w:r>
      <w:r w:rsidR="002E4F81">
        <w:rPr>
          <w:b/>
          <w:i/>
          <w:color w:val="3333FF"/>
        </w:rPr>
        <w:t xml:space="preserve"> </w:t>
      </w:r>
      <w:r w:rsidR="002E4F81">
        <w:rPr>
          <w:rStyle w:val="Voetnootmarkering"/>
          <w:b/>
          <w:i/>
          <w:color w:val="3333FF"/>
        </w:rPr>
        <w:footnoteReference w:id="22"/>
      </w:r>
      <w:r w:rsidR="00703772">
        <w:rPr>
          <w:b/>
          <w:i/>
          <w:color w:val="3333FF"/>
        </w:rPr>
        <w:t xml:space="preserve">, maar vooral effect van de </w:t>
      </w:r>
      <w:r w:rsidR="000C669A">
        <w:rPr>
          <w:b/>
          <w:i/>
          <w:color w:val="3333FF"/>
        </w:rPr>
        <w:t>leeftijdsverdeling</w:t>
      </w:r>
      <w:r w:rsidR="002C7021" w:rsidRPr="002C7021">
        <w:rPr>
          <w:b/>
          <w:i/>
          <w:color w:val="3333FF"/>
        </w:rPr>
        <w:t xml:space="preserve"> </w:t>
      </w:r>
    </w:p>
    <w:p w:rsidR="002C7021" w:rsidRDefault="002C7021" w:rsidP="00074EEC">
      <w:pPr>
        <w:spacing w:after="0"/>
        <w:rPr>
          <w:color w:val="FF0000"/>
        </w:rPr>
      </w:pPr>
    </w:p>
    <w:p w:rsidR="004D6D14" w:rsidRDefault="004D6D14" w:rsidP="004D6D14">
      <w:pPr>
        <w:spacing w:after="0"/>
      </w:pPr>
      <w:r>
        <w:t xml:space="preserve">De evolutie van </w:t>
      </w:r>
      <w:r w:rsidRPr="002F4620">
        <w:rPr>
          <w:i/>
          <w:color w:val="00B050"/>
        </w:rPr>
        <w:t>migratie</w:t>
      </w:r>
      <w:r>
        <w:t xml:space="preserve"> wordt </w:t>
      </w:r>
      <w:r w:rsidR="000C0BE9">
        <w:t xml:space="preserve">door SVR </w:t>
      </w:r>
      <w:r>
        <w:t xml:space="preserve">geraamd zoals voor de 20-59 jarigen. </w:t>
      </w:r>
      <w:r w:rsidR="000C0BE9">
        <w:t xml:space="preserve">Voor sommige gemeenten kan die evolutie sterk zijn. </w:t>
      </w:r>
      <w:r w:rsidR="00952BB0">
        <w:t>Maar op basis van de gepubliceerde cijfers is d</w:t>
      </w:r>
      <w:r w:rsidR="00124EF1">
        <w:t>e invloed van migratie niet af te zonderen uit de prognose van SVR</w:t>
      </w:r>
      <w:r w:rsidR="00952BB0">
        <w:t>.</w:t>
      </w:r>
      <w:r w:rsidR="00952BB0">
        <w:rPr>
          <w:rStyle w:val="Voetnootmarkering"/>
        </w:rPr>
        <w:footnoteReference w:id="23"/>
      </w:r>
      <w:r w:rsidR="00952BB0">
        <w:t xml:space="preserve"> </w:t>
      </w:r>
    </w:p>
    <w:p w:rsidR="004D6D14" w:rsidRDefault="004D6D14" w:rsidP="00711D8B">
      <w:pPr>
        <w:spacing w:after="0"/>
      </w:pPr>
    </w:p>
    <w:p w:rsidR="005F03B4" w:rsidRDefault="00326F95" w:rsidP="00711D8B">
      <w:pPr>
        <w:spacing w:after="0"/>
      </w:pPr>
      <w:r>
        <w:t xml:space="preserve">Voor Vlaanderen zijn er voor de </w:t>
      </w:r>
      <w:r w:rsidRPr="002F4620">
        <w:rPr>
          <w:i/>
          <w:color w:val="00B050"/>
        </w:rPr>
        <w:t>sterfterisico</w:t>
      </w:r>
      <w:r w:rsidR="00F6726C">
        <w:rPr>
          <w:i/>
          <w:color w:val="00B050"/>
        </w:rPr>
        <w:t>’</w:t>
      </w:r>
      <w:r w:rsidRPr="002F4620">
        <w:rPr>
          <w:i/>
          <w:color w:val="00B050"/>
        </w:rPr>
        <w:t>s</w:t>
      </w:r>
      <w:r>
        <w:t xml:space="preserve"> naar leeftijd </w:t>
      </w:r>
      <w:r w:rsidR="00F6726C">
        <w:t xml:space="preserve">tot 90 jaar </w:t>
      </w:r>
      <w:r>
        <w:t>duidelijke trends in de jaren 1971-2013</w:t>
      </w:r>
      <w:r w:rsidR="009B0D3E">
        <w:t xml:space="preserve">. </w:t>
      </w:r>
      <w:r w:rsidR="006B0FF3">
        <w:t>Die risico’s nemen af maar wel steeds minder sterk.</w:t>
      </w:r>
      <w:r w:rsidR="006B0FF3">
        <w:rPr>
          <w:rStyle w:val="Voetnootmarkering"/>
        </w:rPr>
        <w:footnoteReference w:id="24"/>
      </w:r>
      <w:r w:rsidR="006B0FF3">
        <w:t xml:space="preserve"> </w:t>
      </w:r>
    </w:p>
    <w:p w:rsidR="00525D30" w:rsidRDefault="00525D30" w:rsidP="00711D8B">
      <w:pPr>
        <w:spacing w:after="0"/>
      </w:pPr>
      <w:r>
        <w:t>Enkel tussen de leeftijd van 65 en 90 jaar wordt rekening gehouden met gemeentelijke verschillen.</w:t>
      </w:r>
      <w:r w:rsidR="005F03B4">
        <w:rPr>
          <w:rStyle w:val="Voetnootmarkering"/>
        </w:rPr>
        <w:footnoteReference w:id="25"/>
      </w:r>
    </w:p>
    <w:p w:rsidR="002F4620" w:rsidRDefault="006901E2" w:rsidP="002F4620">
      <w:pPr>
        <w:spacing w:after="0"/>
      </w:pPr>
      <w:r>
        <w:t>Met uitzondering van Antwerpen en Gent werden de gemeenten hiervoor samen genomen  in drie groepen</w:t>
      </w:r>
      <w:r w:rsidR="00B76DD0">
        <w:t xml:space="preserve">  met laag, midden of hoog sterfteniveau</w:t>
      </w:r>
      <w:r w:rsidR="002F4620">
        <w:t xml:space="preserve">. </w:t>
      </w:r>
      <w:r w:rsidR="00B76DD0">
        <w:rPr>
          <w:rStyle w:val="Voetnootmarkering"/>
        </w:rPr>
        <w:footnoteReference w:id="26"/>
      </w:r>
      <w:r w:rsidR="002F4620">
        <w:t xml:space="preserve"> </w:t>
      </w:r>
      <w:r w:rsidR="002F4620" w:rsidRPr="008F0AF1">
        <w:t>De trends voor de groepen van gemeenten worden vergeleken met die Vlaanderen. Dit leidt per groep tot het toepassen van een correctiefactor op de Vlaamse sterfterisico’s.</w:t>
      </w:r>
    </w:p>
    <w:p w:rsidR="004D282C" w:rsidRDefault="004D282C" w:rsidP="002F4620">
      <w:pPr>
        <w:spacing w:after="0"/>
      </w:pPr>
    </w:p>
    <w:p w:rsidR="00AE602C" w:rsidRDefault="0061685C" w:rsidP="002F4620">
      <w:pPr>
        <w:spacing w:after="0"/>
      </w:pPr>
      <w:r>
        <w:t xml:space="preserve">De evolutie </w:t>
      </w:r>
      <w:r w:rsidR="006D6D9F">
        <w:t xml:space="preserve">van de leeftijdsgroepen ouder dan 60 in de periode 2014-2024 is ook afhankelijk van de </w:t>
      </w:r>
      <w:r w:rsidR="006D6D9F" w:rsidRPr="006D6D9F">
        <w:rPr>
          <w:color w:val="00B050"/>
        </w:rPr>
        <w:t>leeftijdsverdeling bij het begin</w:t>
      </w:r>
      <w:r w:rsidR="006D6D9F">
        <w:t xml:space="preserve">. </w:t>
      </w:r>
      <w:r w:rsidR="00166D19">
        <w:t xml:space="preserve">Zo </w:t>
      </w:r>
      <w:r w:rsidR="00125A2C">
        <w:t xml:space="preserve">is </w:t>
      </w:r>
      <w:r w:rsidR="00166D19">
        <w:t>bijvoorbeeld de verhouding tussen het aantal 60-64 jarigen in 2024 en hun aantal in 2014</w:t>
      </w:r>
      <w:r w:rsidR="00D37F0F">
        <w:t xml:space="preserve"> (evolutie) </w:t>
      </w:r>
      <w:r w:rsidR="00125A2C">
        <w:t>te schrijven als het resultaat van twee verhouding</w:t>
      </w:r>
      <w:r w:rsidR="00AE602C">
        <w:t>en, waarvan de ene betrekking heeft op migratie en sterfte en de andere op de leeftijdsverdeling bij het begin</w:t>
      </w:r>
      <w:r w:rsidR="00125A2C">
        <w:t>:</w:t>
      </w:r>
    </w:p>
    <w:p w:rsidR="00AE602C" w:rsidRDefault="00AE602C">
      <w:pPr>
        <w:spacing w:after="0" w:line="240" w:lineRule="auto"/>
      </w:pPr>
      <w:r>
        <w:br w:type="page"/>
      </w:r>
    </w:p>
    <w:p w:rsidR="00B9142D" w:rsidRDefault="00AE602C" w:rsidP="002F4620">
      <w:pPr>
        <w:spacing w:after="0"/>
      </w:pPr>
      <w:r>
        <w:lastRenderedPageBreak/>
        <w:tab/>
      </w:r>
      <w:r>
        <w:tab/>
        <w:t xml:space="preserve">   </w:t>
      </w:r>
      <w:r>
        <w:tab/>
      </w:r>
    </w:p>
    <w:p w:rsidR="00AE602C" w:rsidRDefault="00D17F35" w:rsidP="002F4620">
      <w:pPr>
        <w:spacing w:after="0"/>
      </w:pP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123190</wp:posOffset>
                </wp:positionV>
                <wp:extent cx="5829300" cy="1348740"/>
                <wp:effectExtent l="0" t="0" r="19050" b="22860"/>
                <wp:wrapNone/>
                <wp:docPr id="18" name="Rechthoek 18"/>
                <wp:cNvGraphicFramePr/>
                <a:graphic xmlns:a="http://schemas.openxmlformats.org/drawingml/2006/main">
                  <a:graphicData uri="http://schemas.microsoft.com/office/word/2010/wordprocessingShape">
                    <wps:wsp>
                      <wps:cNvSpPr/>
                      <wps:spPr>
                        <a:xfrm>
                          <a:off x="0" y="0"/>
                          <a:ext cx="5829300" cy="134874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8" o:spid="_x0000_s1026" style="position:absolute;margin-left:-1.85pt;margin-top:9.7pt;width:459pt;height:10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9tbwIAACgFAAAOAAAAZHJzL2Uyb0RvYy54bWysVMlu2zAQvRfoPxC8N7IcZzMiB0aCFAWC&#10;JMiCnBmKtIRQHHZIW3a/vkNKlo3U6KHoRRpy9jdveHm1bgxbKfQ12ILnRyPOlJVQ1nZR8NeX22/n&#10;nPkgbCkMWFXwjfL8avb1y2XrpmoMFZhSIaMg1k9bV/AqBDfNMi8r1Qh/BE5ZUmrARgQ64iIrUbQU&#10;vTHZeDQ6zVrA0iFI5T3d3nRKPkvxtVYyPGjtVWCm4FRbSF9M3/f4zWaXYrpA4apa9mWIf6iiEbWl&#10;pEOoGxEEW2L9R6imlggedDiS0GSgdS1V6oG6yUefunmuhFOpFwLHuwEm///CyvvVI7K6pNnRpKxo&#10;aEZPSlahAvXB6I4Aap2fkt2ze8T+5EmM3a41NvFPfbB1AnUzgKrWgUm6PDkfXxyPCHtJuvx4cn42&#10;SbBnO3eHPnxX0LAoFBxpaglMsbrzgVKS6dYkZrNwWxuTJmcsawt+enzShYyVdrUlKWyMig7GPilN&#10;TVI14xQ40UtdG2QrQcQoP/LYJ6VJltFFU4bBKT/kZMLWqbeNbipRbnAcHXLcZRusU0awYXBsagv4&#10;d2fd2VPZe71G8R3KDc0UoSO7d/K2JlzvhA+PAondNAva2PBAH22A8INe4qwC/HXoPtoT6UjLWUvb&#10;UnD/cylQcWZ+WKLjRT6hqbKQDpOTszEdcF/zvq+xy+YaCPec3gYnkxjtg9mKGqF5o8Wex6ykElZS&#10;7oLLgNvDdei2mJ4GqebzZEYr5US4s89OxuAR1cibl/WbQNeTKxAv72G7WWL6iWOdbfS0MF8G0HUi&#10;4A7XHm9ax0SY/umI+75/Tla7B272GwAA//8DAFBLAwQUAAYACAAAACEAzPQGGuEAAAAJAQAADwAA&#10;AGRycy9kb3ducmV2LnhtbEyPQUvDQBCF74L/YRnBW7tJEzSJ2ZQiCCqI2CrkuM2uSWx2JmS3bfz3&#10;jic9vnmP974p17MbxMlOvidUEC8jEBYbMj22Ct53D4sMhA8ajR4IrYJv62FdXV6UujB0xjd72oZW&#10;cAn6QivoQhgLKX3TWaf9kkaL7H3S5HRgObXSTPrM5W6Qqyi6kU73yAudHu19Z5vD9ugUNLv64yut&#10;X5+pz+iweaHHNH+qlbq+mjd3IIKdw18YfvEZHSpm2tMRjReDgkVyy0m+5ykI9vM4TUDsFaySOANZ&#10;lfL/B9UPAAAA//8DAFBLAQItABQABgAIAAAAIQC2gziS/gAAAOEBAAATAAAAAAAAAAAAAAAAAAAA&#10;AABbQ29udGVudF9UeXBlc10ueG1sUEsBAi0AFAAGAAgAAAAhADj9If/WAAAAlAEAAAsAAAAAAAAA&#10;AAAAAAAALwEAAF9yZWxzLy5yZWxzUEsBAi0AFAAGAAgAAAAhAMsc721vAgAAKAUAAA4AAAAAAAAA&#10;AAAAAAAALgIAAGRycy9lMm9Eb2MueG1sUEsBAi0AFAAGAAgAAAAhAMz0BhrhAAAACQEAAA8AAAAA&#10;AAAAAAAAAAAAyQQAAGRycy9kb3ducmV2LnhtbFBLBQYAAAAABAAEAPMAAADXBQAAAAA=&#10;" filled="f" strokecolor="black [3200]" strokeweight=".5pt"/>
            </w:pict>
          </mc:Fallback>
        </mc:AlternateContent>
      </w:r>
    </w:p>
    <w:p w:rsidR="004D282C" w:rsidRDefault="00B9142D" w:rsidP="002F4620">
      <w:pPr>
        <w:spacing w:after="0"/>
      </w:pPr>
      <w:r>
        <w:t xml:space="preserve">60-64 jarigen in 2024  </w:t>
      </w:r>
      <w:r w:rsidR="006B5129">
        <w:t xml:space="preserve">   </w:t>
      </w:r>
      <w:r>
        <w:t xml:space="preserve">  </w:t>
      </w:r>
      <w:r w:rsidR="00952D55">
        <w:t xml:space="preserve">      </w:t>
      </w:r>
      <w:r w:rsidR="00AE602C">
        <w:tab/>
      </w:r>
      <w:r w:rsidR="006B5129">
        <w:t>60-64 jarigen in 2024</w:t>
      </w:r>
      <w:r w:rsidR="00B95F71">
        <w:t xml:space="preserve">   </w:t>
      </w:r>
      <w:r w:rsidR="00952D55">
        <w:t xml:space="preserve">    </w:t>
      </w:r>
      <w:r w:rsidR="006B5129">
        <w:t xml:space="preserve">   </w:t>
      </w:r>
      <w:r w:rsidR="00952D55">
        <w:t xml:space="preserve">  </w:t>
      </w:r>
      <w:r w:rsidR="00AE602C">
        <w:tab/>
      </w:r>
      <w:r w:rsidR="00AE602C">
        <w:tab/>
      </w:r>
      <w:r w:rsidR="000467EC">
        <w:t>50</w:t>
      </w:r>
      <w:r>
        <w:t>-</w:t>
      </w:r>
      <w:r w:rsidR="000467EC">
        <w:t>5</w:t>
      </w:r>
      <w:r w:rsidR="006B5129">
        <w:t>4 jarigen in 20</w:t>
      </w:r>
      <w:r w:rsidR="000467EC">
        <w:t>1</w:t>
      </w:r>
      <w:r w:rsidR="006B5129">
        <w:t>4</w:t>
      </w:r>
    </w:p>
    <w:p w:rsidR="00B95F71" w:rsidRDefault="00B95F71" w:rsidP="002F4620">
      <w:pPr>
        <w:spacing w:after="0"/>
      </w:pPr>
      <w:r>
        <w:t xml:space="preserve">--------------------------- </w:t>
      </w:r>
      <w:r w:rsidR="00AE602C">
        <w:tab/>
      </w:r>
      <w:r>
        <w:t>=</w:t>
      </w:r>
      <w:r w:rsidR="00AE602C">
        <w:tab/>
      </w:r>
      <w:r>
        <w:t xml:space="preserve"> --------------------------- </w:t>
      </w:r>
      <w:r w:rsidR="00AE602C">
        <w:tab/>
      </w:r>
      <w:r w:rsidR="00AE602C">
        <w:tab/>
      </w:r>
      <w:r>
        <w:t xml:space="preserve">*     </w:t>
      </w:r>
      <w:r w:rsidR="00AE602C">
        <w:tab/>
      </w:r>
      <w:r>
        <w:t>---------------------------</w:t>
      </w:r>
    </w:p>
    <w:p w:rsidR="006237D5" w:rsidRDefault="00952D55" w:rsidP="002F4620">
      <w:pPr>
        <w:spacing w:after="0"/>
      </w:pPr>
      <w:r>
        <w:t xml:space="preserve">60-64 jarigen in 2014      </w:t>
      </w:r>
      <w:r w:rsidR="006B5129">
        <w:t xml:space="preserve">   </w:t>
      </w:r>
      <w:r>
        <w:t xml:space="preserve">    </w:t>
      </w:r>
      <w:r w:rsidR="00AE602C">
        <w:tab/>
      </w:r>
      <w:r w:rsidR="00B95F71">
        <w:t xml:space="preserve">50-54 jarigen in 2014   </w:t>
      </w:r>
      <w:r w:rsidR="006B5129">
        <w:t xml:space="preserve">         </w:t>
      </w:r>
      <w:r w:rsidR="00AE602C">
        <w:tab/>
      </w:r>
      <w:r w:rsidR="00AE602C">
        <w:tab/>
      </w:r>
      <w:r w:rsidR="000467EC">
        <w:t>60</w:t>
      </w:r>
      <w:r w:rsidR="006B5129">
        <w:t>-</w:t>
      </w:r>
      <w:r w:rsidR="000467EC">
        <w:t>6</w:t>
      </w:r>
      <w:r w:rsidR="006B5129">
        <w:t>4 jarigen in 2014</w:t>
      </w:r>
      <w:r>
        <w:tab/>
      </w:r>
      <w:r>
        <w:tab/>
      </w:r>
    </w:p>
    <w:p w:rsidR="006237D5" w:rsidRDefault="00554C03" w:rsidP="002F4620">
      <w:pPr>
        <w:spacing w:after="0"/>
      </w:pPr>
      <w:r>
        <w:t>e</w:t>
      </w:r>
      <w:r w:rsidR="00AE602C">
        <w:t>volutie</w:t>
      </w:r>
      <w:r w:rsidR="00AE602C">
        <w:tab/>
      </w:r>
      <w:r w:rsidR="00AE602C">
        <w:tab/>
      </w:r>
      <w:r w:rsidR="00AE602C">
        <w:tab/>
        <w:t>effect van migratie en sterfte</w:t>
      </w:r>
      <w:r w:rsidR="00AE602C">
        <w:tab/>
      </w:r>
      <w:r>
        <w:tab/>
        <w:t>verhouding tussen leeftijds-</w:t>
      </w:r>
    </w:p>
    <w:p w:rsidR="00554C03" w:rsidRDefault="00554C03" w:rsidP="002F4620">
      <w:pPr>
        <w:spacing w:after="0"/>
      </w:pPr>
      <w:r>
        <w:tab/>
      </w:r>
      <w:r>
        <w:tab/>
      </w:r>
      <w:r>
        <w:tab/>
      </w:r>
      <w:r>
        <w:tab/>
      </w:r>
      <w:r>
        <w:tab/>
      </w:r>
      <w:r>
        <w:tab/>
      </w:r>
      <w:r>
        <w:tab/>
      </w:r>
      <w:r>
        <w:tab/>
      </w:r>
      <w:r>
        <w:tab/>
        <w:t>groepen bij het begin</w:t>
      </w:r>
    </w:p>
    <w:p w:rsidR="000467EC" w:rsidRDefault="000467EC" w:rsidP="002F4620">
      <w:pPr>
        <w:spacing w:after="0"/>
      </w:pPr>
    </w:p>
    <w:p w:rsidR="00702D20" w:rsidRDefault="00702D20" w:rsidP="002F4620">
      <w:pPr>
        <w:spacing w:after="0"/>
      </w:pPr>
    </w:p>
    <w:p w:rsidR="00014C0F" w:rsidRDefault="001F053F" w:rsidP="002F4620">
      <w:pPr>
        <w:spacing w:after="0"/>
      </w:pPr>
      <w:r>
        <w:t>Volgende figuur geeft voor Vlaanderen de procentuele toe- of afname van de leeftijdsgroepen tussen 2014 en 2024</w:t>
      </w:r>
      <w:r w:rsidR="00323293">
        <w:t xml:space="preserve"> en dit op basis van twee scenario’s: met of zonder migratie en dalende sterftekansen.</w:t>
      </w:r>
    </w:p>
    <w:p w:rsidR="00860C57" w:rsidRDefault="00860C57" w:rsidP="002F4620">
      <w:pPr>
        <w:spacing w:after="0"/>
      </w:pPr>
    </w:p>
    <w:tbl>
      <w:tblPr>
        <w:tblStyle w:val="Tabelraster"/>
        <w:tblW w:w="0" w:type="auto"/>
        <w:tblInd w:w="-38" w:type="dxa"/>
        <w:tblCellMar>
          <w:left w:w="70" w:type="dxa"/>
          <w:right w:w="70" w:type="dxa"/>
        </w:tblCellMar>
        <w:tblLook w:val="04A0" w:firstRow="1" w:lastRow="0" w:firstColumn="1" w:lastColumn="0" w:noHBand="0" w:noVBand="1"/>
      </w:tblPr>
      <w:tblGrid>
        <w:gridCol w:w="5930"/>
        <w:gridCol w:w="3320"/>
      </w:tblGrid>
      <w:tr w:rsidR="00F6726C" w:rsidTr="0009155D">
        <w:tc>
          <w:tcPr>
            <w:tcW w:w="5353" w:type="dxa"/>
          </w:tcPr>
          <w:p w:rsidR="00F6726C" w:rsidRDefault="00702D20" w:rsidP="002F4620">
            <w:pPr>
              <w:spacing w:after="0"/>
            </w:pPr>
            <w:r>
              <w:rPr>
                <w:noProof/>
                <w:lang w:eastAsia="nl-BE"/>
              </w:rPr>
              <w:drawing>
                <wp:inline distT="0" distB="0" distL="0" distR="0" wp14:anchorId="3C2E2F1F">
                  <wp:extent cx="3670300" cy="289560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300" cy="2895600"/>
                          </a:xfrm>
                          <a:prstGeom prst="rect">
                            <a:avLst/>
                          </a:prstGeom>
                          <a:noFill/>
                        </pic:spPr>
                      </pic:pic>
                    </a:graphicData>
                  </a:graphic>
                </wp:inline>
              </w:drawing>
            </w:r>
          </w:p>
        </w:tc>
        <w:tc>
          <w:tcPr>
            <w:tcW w:w="3859" w:type="dxa"/>
          </w:tcPr>
          <w:p w:rsidR="00F044F8" w:rsidRDefault="00323293" w:rsidP="00F044F8">
            <w:pPr>
              <w:spacing w:after="0"/>
            </w:pPr>
            <w:r>
              <w:t xml:space="preserve">De rode lijn geeft de resultaten van de projectie van SVR. </w:t>
            </w:r>
            <w:r w:rsidR="00974283">
              <w:t>Er is een sterke toename voor alle leeftijdsgroepen uitgezonder</w:t>
            </w:r>
            <w:r w:rsidR="00961D47">
              <w:t>d</w:t>
            </w:r>
            <w:r w:rsidR="00974283">
              <w:t xml:space="preserve"> de 80-84 jarigen</w:t>
            </w:r>
            <w:r w:rsidR="00A4570A">
              <w:t xml:space="preserve"> in 2024 die geboortes in Wereldoorlog II betreffen.</w:t>
            </w:r>
          </w:p>
          <w:p w:rsidR="008A23E4" w:rsidRDefault="008A23E4" w:rsidP="00F044F8">
            <w:pPr>
              <w:spacing w:after="0"/>
            </w:pPr>
          </w:p>
          <w:p w:rsidR="00C676FB" w:rsidRDefault="00F044F8" w:rsidP="00F044F8">
            <w:pPr>
              <w:spacing w:after="0"/>
            </w:pPr>
            <w:r>
              <w:t>Zonder dalende sterfterisico’s (en zonder migratie) zijn de toenames bijna even sterk</w:t>
            </w:r>
            <w:r w:rsidR="00C676FB">
              <w:t xml:space="preserve"> (blauwe lijn)</w:t>
            </w:r>
            <w:r>
              <w:t xml:space="preserve">. </w:t>
            </w:r>
          </w:p>
          <w:p w:rsidR="008A23E4" w:rsidRDefault="008A23E4" w:rsidP="00F044F8">
            <w:pPr>
              <w:spacing w:after="0"/>
            </w:pPr>
          </w:p>
          <w:p w:rsidR="00F6726C" w:rsidRDefault="00F044F8" w:rsidP="008A23E4">
            <w:pPr>
              <w:spacing w:after="0"/>
            </w:pPr>
            <w:r>
              <w:t>Alleszins voor het geheel van Vlaanderen zijn de toenames dus bijna volledig het gevolg van de leeftijdsverdeling bij het begin.</w:t>
            </w:r>
            <w:r w:rsidR="00974283">
              <w:t xml:space="preserve"> </w:t>
            </w:r>
          </w:p>
        </w:tc>
      </w:tr>
    </w:tbl>
    <w:p w:rsidR="00F6726C" w:rsidRDefault="00F6726C" w:rsidP="002F4620">
      <w:pPr>
        <w:spacing w:after="0"/>
      </w:pPr>
    </w:p>
    <w:p w:rsidR="00F6726C" w:rsidRDefault="00F6726C" w:rsidP="002F4620">
      <w:pPr>
        <w:spacing w:after="0"/>
      </w:pPr>
    </w:p>
    <w:p w:rsidR="00742DF4" w:rsidRDefault="00742DF4">
      <w:pPr>
        <w:spacing w:after="0" w:line="240" w:lineRule="auto"/>
      </w:pPr>
    </w:p>
    <w:p w:rsidR="00922686" w:rsidRPr="00B96D31" w:rsidRDefault="004C6939" w:rsidP="00B96D31">
      <w:pPr>
        <w:pStyle w:val="Lijstalinea"/>
        <w:numPr>
          <w:ilvl w:val="0"/>
          <w:numId w:val="25"/>
        </w:numPr>
        <w:spacing w:after="0"/>
        <w:ind w:left="567" w:hanging="567"/>
        <w:rPr>
          <w:b/>
          <w:i/>
          <w:color w:val="3333FF"/>
        </w:rPr>
      </w:pPr>
      <w:r>
        <w:rPr>
          <w:b/>
          <w:i/>
          <w:color w:val="3333FF"/>
        </w:rPr>
        <w:t>E</w:t>
      </w:r>
      <w:r w:rsidR="00F13EC3" w:rsidRPr="00B96D31">
        <w:rPr>
          <w:b/>
          <w:i/>
          <w:color w:val="3333FF"/>
        </w:rPr>
        <w:t xml:space="preserve">volutie van </w:t>
      </w:r>
      <w:r w:rsidR="00940787" w:rsidRPr="00B96D31">
        <w:rPr>
          <w:b/>
          <w:i/>
          <w:color w:val="3333FF"/>
        </w:rPr>
        <w:t>het aantal</w:t>
      </w:r>
      <w:r w:rsidR="00F13EC3" w:rsidRPr="00B96D31">
        <w:rPr>
          <w:b/>
          <w:i/>
          <w:color w:val="3333FF"/>
        </w:rPr>
        <w:t xml:space="preserve"> ‘60+ers’</w:t>
      </w:r>
    </w:p>
    <w:p w:rsidR="00F13EC3" w:rsidRDefault="00F13EC3" w:rsidP="00146694">
      <w:pPr>
        <w:spacing w:after="0"/>
        <w:rPr>
          <w:b/>
          <w:color w:val="3333FF"/>
        </w:rPr>
      </w:pPr>
    </w:p>
    <w:p w:rsidR="00F84BE6" w:rsidRDefault="00F84BE6" w:rsidP="00146694">
      <w:pPr>
        <w:spacing w:after="0"/>
      </w:pPr>
      <w:r w:rsidRPr="00F84BE6">
        <w:t>V</w:t>
      </w:r>
      <w:r>
        <w:t>olgende kaart geeft voor de gemeenten in de provincie Antwerpen de evolutie van het aantal inwoners ouder dan 60 jaar.</w:t>
      </w:r>
    </w:p>
    <w:p w:rsidR="00E76C06" w:rsidRDefault="00F84BE6" w:rsidP="00FE27F5">
      <w:pPr>
        <w:pStyle w:val="Lijstalinea"/>
        <w:numPr>
          <w:ilvl w:val="0"/>
          <w:numId w:val="24"/>
        </w:numPr>
        <w:spacing w:after="0"/>
        <w:ind w:left="567" w:hanging="567"/>
      </w:pPr>
      <w:r>
        <w:t>Voor het geheel van de provincie zou hun aantal in de periode 2014-2024 met 20 % toenemen. Dit is even sterk als voor Vlaanderen.</w:t>
      </w:r>
      <w:r w:rsidR="00E76C06">
        <w:t xml:space="preserve"> Tussen de gemeenten zijn er echter grote verschillen.</w:t>
      </w:r>
    </w:p>
    <w:p w:rsidR="00517C9D" w:rsidRDefault="00E76C06" w:rsidP="00FE27F5">
      <w:pPr>
        <w:pStyle w:val="Lijstalinea"/>
        <w:numPr>
          <w:ilvl w:val="0"/>
          <w:numId w:val="24"/>
        </w:numPr>
        <w:spacing w:after="0"/>
        <w:ind w:left="567" w:hanging="567"/>
      </w:pPr>
      <w:r>
        <w:t xml:space="preserve">Het beeld voor de provincie wordt sterk beïnvloed door stad Antwerpen met ‘slechts’ een toename met 7 %. </w:t>
      </w:r>
    </w:p>
    <w:p w:rsidR="00517C9D" w:rsidRDefault="00517C9D" w:rsidP="00FE27F5">
      <w:pPr>
        <w:pStyle w:val="Lijstalinea"/>
        <w:numPr>
          <w:ilvl w:val="0"/>
          <w:numId w:val="24"/>
        </w:numPr>
        <w:spacing w:after="0"/>
        <w:ind w:left="567" w:hanging="567"/>
      </w:pPr>
      <w:r>
        <w:t>Voor slechts 1 op 4 gemeenten in de provincie (in blauw of grij</w:t>
      </w:r>
      <w:r w:rsidR="00C63E2C">
        <w:t>s</w:t>
      </w:r>
      <w:r>
        <w:t>)  is de toename kleiner dan 20 %. In Vlaanderen gaat het om 4 op 10 gemeenten.</w:t>
      </w:r>
    </w:p>
    <w:p w:rsidR="00F825F6" w:rsidRDefault="00517C9D" w:rsidP="00FE27F5">
      <w:pPr>
        <w:pStyle w:val="Lijstalinea"/>
        <w:numPr>
          <w:ilvl w:val="0"/>
          <w:numId w:val="24"/>
        </w:numPr>
        <w:spacing w:after="0"/>
        <w:ind w:left="567" w:hanging="567"/>
      </w:pPr>
      <w:r>
        <w:t>Voor ruim de helft van de gemeenten (in rood) is de toename groter dan 25 %, tegenover 1 op 3 in Vlaanderen.</w:t>
      </w:r>
    </w:p>
    <w:p w:rsidR="00F825F6" w:rsidRDefault="00F825F6">
      <w:pPr>
        <w:spacing w:after="0" w:line="240" w:lineRule="auto"/>
      </w:pPr>
      <w:r>
        <w:br w:type="page"/>
      </w:r>
    </w:p>
    <w:p w:rsidR="00F13EC3" w:rsidRDefault="00F825F6" w:rsidP="00146694">
      <w:pPr>
        <w:spacing w:after="0"/>
        <w:rPr>
          <w:b/>
          <w:color w:val="3333FF"/>
        </w:rPr>
      </w:pPr>
      <w:r w:rsidRPr="00F825F6">
        <w:rPr>
          <w:highlight w:val="lightGray"/>
        </w:rPr>
        <w:lastRenderedPageBreak/>
        <w:t>Kaart 10</w:t>
      </w:r>
    </w:p>
    <w:p w:rsidR="00F13EC3" w:rsidRDefault="00F13EC3" w:rsidP="00146694">
      <w:pPr>
        <w:spacing w:after="0"/>
        <w:rPr>
          <w:b/>
          <w:color w:val="3333FF"/>
        </w:rPr>
      </w:pPr>
      <w:r>
        <w:rPr>
          <w:b/>
          <w:noProof/>
          <w:color w:val="3333FF"/>
          <w:lang w:eastAsia="nl-BE"/>
        </w:rPr>
        <w:drawing>
          <wp:inline distT="0" distB="0" distL="0" distR="0">
            <wp:extent cx="5760720" cy="407289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7_E60p_142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1E1E9D" w:rsidRDefault="001E1E9D" w:rsidP="00146694">
      <w:pPr>
        <w:spacing w:after="0"/>
        <w:rPr>
          <w:b/>
          <w:i/>
          <w:color w:val="3333FF"/>
        </w:rPr>
      </w:pPr>
    </w:p>
    <w:p w:rsidR="001E1E9D" w:rsidRDefault="001E1E9D" w:rsidP="001E1E9D">
      <w:pPr>
        <w:spacing w:after="0"/>
      </w:pPr>
      <w:r>
        <w:t>Uit de grafiek voor Vlaanderen bleek dat de toename sterk verschilt tussen de leeftijdsgroepen. Er zijn ook grote verschillen naar leeftijd inzake inkomen en zorgvraag.</w:t>
      </w:r>
    </w:p>
    <w:p w:rsidR="00FE1B2A" w:rsidRDefault="00FE1B2A" w:rsidP="001E1E9D">
      <w:pPr>
        <w:spacing w:after="0"/>
      </w:pPr>
    </w:p>
    <w:p w:rsidR="0049158C" w:rsidRDefault="0049158C" w:rsidP="00146694">
      <w:pPr>
        <w:spacing w:after="0"/>
        <w:rPr>
          <w:b/>
          <w:i/>
          <w:color w:val="3333FF"/>
        </w:rPr>
      </w:pPr>
    </w:p>
    <w:p w:rsidR="00F13EC3" w:rsidRPr="00B96D31" w:rsidRDefault="0024199A" w:rsidP="00B96D31">
      <w:pPr>
        <w:pStyle w:val="Lijstalinea"/>
        <w:numPr>
          <w:ilvl w:val="0"/>
          <w:numId w:val="25"/>
        </w:numPr>
        <w:spacing w:after="0"/>
        <w:ind w:left="567" w:hanging="567"/>
        <w:rPr>
          <w:b/>
          <w:i/>
          <w:color w:val="3333FF"/>
        </w:rPr>
      </w:pPr>
      <w:r w:rsidRPr="00B96D31">
        <w:rPr>
          <w:b/>
          <w:i/>
          <w:color w:val="3333FF"/>
        </w:rPr>
        <w:t>inkomen en oudere senioren</w:t>
      </w:r>
    </w:p>
    <w:p w:rsidR="00F13EC3" w:rsidRDefault="00F13EC3" w:rsidP="00146694">
      <w:pPr>
        <w:spacing w:after="0"/>
        <w:rPr>
          <w:b/>
          <w:color w:val="3333FF"/>
        </w:rPr>
      </w:pPr>
    </w:p>
    <w:tbl>
      <w:tblPr>
        <w:tblStyle w:val="Tabelraster"/>
        <w:tblW w:w="0" w:type="auto"/>
        <w:tblLook w:val="04A0" w:firstRow="1" w:lastRow="0" w:firstColumn="1" w:lastColumn="0" w:noHBand="0" w:noVBand="1"/>
      </w:tblPr>
      <w:tblGrid>
        <w:gridCol w:w="5211"/>
        <w:gridCol w:w="4077"/>
      </w:tblGrid>
      <w:tr w:rsidR="006E5FC9" w:rsidTr="0049158C">
        <w:trPr>
          <w:trHeight w:val="4119"/>
        </w:trPr>
        <w:tc>
          <w:tcPr>
            <w:tcW w:w="5211" w:type="dxa"/>
          </w:tcPr>
          <w:p w:rsidR="006E5FC9" w:rsidRDefault="006E5FC9" w:rsidP="00146694">
            <w:pPr>
              <w:spacing w:after="0"/>
            </w:pPr>
            <w:r>
              <w:rPr>
                <w:noProof/>
                <w:lang w:eastAsia="nl-BE"/>
              </w:rPr>
              <w:drawing>
                <wp:inline distT="0" distB="0" distL="0" distR="0" wp14:anchorId="089CE9D2" wp14:editId="06C2C4B5">
                  <wp:extent cx="3139440" cy="265176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9440" cy="2651760"/>
                          </a:xfrm>
                          <a:prstGeom prst="rect">
                            <a:avLst/>
                          </a:prstGeom>
                          <a:noFill/>
                        </pic:spPr>
                      </pic:pic>
                    </a:graphicData>
                  </a:graphic>
                </wp:inline>
              </w:drawing>
            </w:r>
          </w:p>
        </w:tc>
        <w:tc>
          <w:tcPr>
            <w:tcW w:w="4077" w:type="dxa"/>
          </w:tcPr>
          <w:p w:rsidR="005D66F8" w:rsidRDefault="006E5FC9" w:rsidP="00146694">
            <w:pPr>
              <w:spacing w:after="0"/>
            </w:pPr>
            <w:r w:rsidRPr="006E5FC9">
              <w:t xml:space="preserve">Het percentage met </w:t>
            </w:r>
            <w:r w:rsidR="00D903C8">
              <w:t xml:space="preserve">een </w:t>
            </w:r>
            <w:r w:rsidRPr="006E5FC9">
              <w:t xml:space="preserve">verhoogde tegemoetkoming in de ziekteverzekering is een goede indicator voor lage inkomens. </w:t>
            </w:r>
          </w:p>
          <w:p w:rsidR="006E5FC9" w:rsidRDefault="006E5FC9" w:rsidP="00146694">
            <w:pPr>
              <w:spacing w:after="0"/>
            </w:pPr>
            <w:r>
              <w:t>De inkomensgrens ligt in de  grootteorde van de Europese armoedegrens.</w:t>
            </w:r>
            <w:r w:rsidR="00D903C8">
              <w:rPr>
                <w:rStyle w:val="Voetnootmarkering"/>
              </w:rPr>
              <w:footnoteReference w:id="27"/>
            </w:r>
          </w:p>
          <w:p w:rsidR="00D903C8" w:rsidRDefault="00D903C8" w:rsidP="00146694">
            <w:pPr>
              <w:spacing w:after="0"/>
            </w:pPr>
          </w:p>
          <w:p w:rsidR="006E5FC9" w:rsidRDefault="006E5FC9" w:rsidP="00146694">
            <w:pPr>
              <w:spacing w:after="0"/>
            </w:pPr>
            <w:r>
              <w:t>Bij de 45-64 jarigen gaat het om 10 %.</w:t>
            </w:r>
          </w:p>
          <w:p w:rsidR="00D903C8" w:rsidRDefault="005D66F8" w:rsidP="00146694">
            <w:pPr>
              <w:spacing w:after="0"/>
            </w:pPr>
            <w:r>
              <w:t xml:space="preserve">voor </w:t>
            </w:r>
            <w:r w:rsidR="006E5FC9" w:rsidRPr="006E5FC9">
              <w:t xml:space="preserve">65-74 jarigen </w:t>
            </w:r>
            <w:r w:rsidR="00D903C8">
              <w:t xml:space="preserve">al </w:t>
            </w:r>
            <w:r w:rsidR="006E5FC9" w:rsidRPr="006E5FC9">
              <w:t xml:space="preserve">om 25 %, </w:t>
            </w:r>
          </w:p>
          <w:p w:rsidR="006E5FC9" w:rsidRDefault="005D66F8" w:rsidP="005D66F8">
            <w:pPr>
              <w:spacing w:after="0"/>
            </w:pPr>
            <w:r>
              <w:t xml:space="preserve">en </w:t>
            </w:r>
            <w:r w:rsidR="006E5FC9" w:rsidRPr="006E5FC9">
              <w:t xml:space="preserve">bij de 75’ers </w:t>
            </w:r>
            <w:r w:rsidR="00D903C8">
              <w:t xml:space="preserve">zelfs </w:t>
            </w:r>
            <w:r>
              <w:t xml:space="preserve">al </w:t>
            </w:r>
            <w:r w:rsidR="006E5FC9" w:rsidRPr="006E5FC9">
              <w:t>om meer dan 40 %.</w:t>
            </w:r>
          </w:p>
          <w:p w:rsidR="00FE1B2A" w:rsidRDefault="00FE1B2A" w:rsidP="005D66F8">
            <w:pPr>
              <w:spacing w:after="0"/>
              <w:rPr>
                <w:sz w:val="18"/>
                <w:szCs w:val="18"/>
              </w:rPr>
            </w:pPr>
          </w:p>
          <w:p w:rsidR="00FE1B2A" w:rsidRDefault="00FE1B2A" w:rsidP="0049158C">
            <w:pPr>
              <w:spacing w:after="0"/>
            </w:pPr>
            <w:r w:rsidRPr="00FE1B2A">
              <w:rPr>
                <w:sz w:val="18"/>
                <w:szCs w:val="18"/>
              </w:rPr>
              <w:t xml:space="preserve">Bron: </w:t>
            </w:r>
            <w:proofErr w:type="spellStart"/>
            <w:r w:rsidRPr="00FE1B2A">
              <w:rPr>
                <w:sz w:val="18"/>
                <w:szCs w:val="18"/>
              </w:rPr>
              <w:t>Inter-Mutualistisch</w:t>
            </w:r>
            <w:proofErr w:type="spellEnd"/>
            <w:r w:rsidRPr="00FE1B2A">
              <w:rPr>
                <w:sz w:val="18"/>
                <w:szCs w:val="18"/>
              </w:rPr>
              <w:t xml:space="preserve"> Agentschap</w:t>
            </w:r>
          </w:p>
        </w:tc>
      </w:tr>
    </w:tbl>
    <w:p w:rsidR="00FE1B2A" w:rsidRDefault="00FE1B2A" w:rsidP="00146694">
      <w:pPr>
        <w:spacing w:after="0"/>
      </w:pPr>
    </w:p>
    <w:p w:rsidR="001E1E9D" w:rsidRDefault="001E1E9D" w:rsidP="00146694">
      <w:pPr>
        <w:spacing w:after="0"/>
      </w:pPr>
      <w:r>
        <w:t>Volgende kaart geeft de evolutie van het aantal inwoners ouder dan 75 jaar.</w:t>
      </w:r>
    </w:p>
    <w:p w:rsidR="00D14119" w:rsidRDefault="00C91B04" w:rsidP="007B155E">
      <w:pPr>
        <w:pStyle w:val="Lijstalinea"/>
        <w:numPr>
          <w:ilvl w:val="0"/>
          <w:numId w:val="28"/>
        </w:numPr>
        <w:spacing w:after="0"/>
        <w:ind w:left="567" w:hanging="567"/>
      </w:pPr>
      <w:r>
        <w:t>Voor Vlaanderen en voor de provincie is  er ook een sterke toename van de inwoners ouder dan 75 jaar</w:t>
      </w:r>
      <w:r w:rsidR="00D14119">
        <w:t>, die wel iets geringer is dan voor de inwoners ouder dan 60 jaar</w:t>
      </w:r>
      <w:r w:rsidR="006528B2">
        <w:t xml:space="preserve">, </w:t>
      </w:r>
      <w:r w:rsidR="00D14119">
        <w:t>voor de provincie 15 % tegenover 20 %.</w:t>
      </w:r>
      <w:r w:rsidR="00417876">
        <w:t xml:space="preserve"> Op gemeentelijk niveau zijn er echter veel grotere verschillen.</w:t>
      </w:r>
      <w:r w:rsidR="004D0351">
        <w:rPr>
          <w:rStyle w:val="Voetnootmarkering"/>
        </w:rPr>
        <w:footnoteReference w:id="28"/>
      </w:r>
    </w:p>
    <w:p w:rsidR="00371391" w:rsidRDefault="00417876" w:rsidP="007B155E">
      <w:pPr>
        <w:pStyle w:val="Lijstalinea"/>
        <w:numPr>
          <w:ilvl w:val="0"/>
          <w:numId w:val="28"/>
        </w:numPr>
        <w:spacing w:after="0"/>
        <w:ind w:left="567" w:hanging="567"/>
      </w:pPr>
      <w:r>
        <w:t xml:space="preserve">Voor meer gemeenten blijft de toename </w:t>
      </w:r>
      <w:r w:rsidR="00371391">
        <w:t>kleiner dan 15 % (in blauw op de kaarten) in de kaarten).</w:t>
      </w:r>
    </w:p>
    <w:p w:rsidR="007B155E" w:rsidRDefault="00371391" w:rsidP="007B155E">
      <w:pPr>
        <w:pStyle w:val="Lijstalinea"/>
        <w:numPr>
          <w:ilvl w:val="0"/>
          <w:numId w:val="28"/>
        </w:numPr>
        <w:spacing w:after="0"/>
        <w:ind w:left="567" w:hanging="567"/>
      </w:pPr>
      <w:r>
        <w:t>Maar  ook voor meer gemeenten is de toename groter  dan 35 % (in donker rood op de kaarten)</w:t>
      </w:r>
      <w:r w:rsidR="007B155E">
        <w:t xml:space="preserve"> namelijk voor 1 op 4 in de provincie Antwerpen (tegenover 1 op 8 in Vlaanderen).</w:t>
      </w:r>
    </w:p>
    <w:p w:rsidR="009D1693" w:rsidRDefault="009D1693" w:rsidP="009D1693">
      <w:pPr>
        <w:spacing w:after="0"/>
      </w:pPr>
    </w:p>
    <w:p w:rsidR="00C337F2" w:rsidRDefault="00C337F2" w:rsidP="009D1693">
      <w:pPr>
        <w:spacing w:after="0"/>
      </w:pPr>
      <w:r w:rsidRPr="00C337F2">
        <w:rPr>
          <w:highlight w:val="lightGray"/>
        </w:rPr>
        <w:t>Kaart 11</w:t>
      </w:r>
    </w:p>
    <w:p w:rsidR="00B751EE" w:rsidRDefault="00B751EE" w:rsidP="00146694">
      <w:pPr>
        <w:spacing w:after="0"/>
      </w:pPr>
      <w:r>
        <w:rPr>
          <w:noProof/>
          <w:lang w:eastAsia="nl-BE"/>
        </w:rPr>
        <w:drawing>
          <wp:inline distT="0" distB="0" distL="0" distR="0">
            <wp:extent cx="5760720" cy="40728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1_E75p_1424.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940787" w:rsidRDefault="00940787" w:rsidP="000C2F27">
      <w:pPr>
        <w:spacing w:after="0"/>
      </w:pPr>
    </w:p>
    <w:p w:rsidR="000C2F27" w:rsidRDefault="000C2F27" w:rsidP="000C2F27">
      <w:pPr>
        <w:spacing w:after="0"/>
      </w:pPr>
    </w:p>
    <w:p w:rsidR="000C2F27" w:rsidRPr="00B96D31" w:rsidRDefault="000C2F27" w:rsidP="00B96D31">
      <w:pPr>
        <w:pStyle w:val="Lijstalinea"/>
        <w:numPr>
          <w:ilvl w:val="0"/>
          <w:numId w:val="32"/>
        </w:numPr>
        <w:spacing w:after="0"/>
        <w:ind w:left="567" w:hanging="567"/>
        <w:rPr>
          <w:b/>
          <w:i/>
          <w:color w:val="3333FF"/>
        </w:rPr>
      </w:pPr>
      <w:r w:rsidRPr="00B96D31">
        <w:rPr>
          <w:b/>
          <w:i/>
          <w:color w:val="3333FF"/>
        </w:rPr>
        <w:t>zorgvraag</w:t>
      </w:r>
    </w:p>
    <w:p w:rsidR="000C2F27" w:rsidRDefault="000C2F27" w:rsidP="000C2F27">
      <w:pPr>
        <w:spacing w:after="0"/>
      </w:pPr>
    </w:p>
    <w:p w:rsidR="00F03393" w:rsidRDefault="000C2F27" w:rsidP="000C2F27">
      <w:pPr>
        <w:spacing w:after="0"/>
      </w:pPr>
      <w:r>
        <w:t>De statistieken over de Vlaamse zorgverzekering geven een beeld van de relatie tussen leeftijd en zorgbehoevendheid.</w:t>
      </w:r>
    </w:p>
    <w:p w:rsidR="003550BD" w:rsidRDefault="00F03393" w:rsidP="000C2F27">
      <w:pPr>
        <w:spacing w:after="0"/>
      </w:pPr>
      <w:r>
        <w:t>De rode lijn in volgende grafiek geeft per leeftijdsgroep het percentage met een uitkering</w:t>
      </w:r>
      <w:r w:rsidR="003550BD">
        <w:t xml:space="preserve"> voor </w:t>
      </w:r>
      <w:r>
        <w:t xml:space="preserve"> residentiële of mantel/thuiszorg.</w:t>
      </w:r>
    </w:p>
    <w:p w:rsidR="000C2F27" w:rsidRDefault="003550BD" w:rsidP="000C2F27">
      <w:pPr>
        <w:spacing w:after="0"/>
      </w:pPr>
      <w:r>
        <w:t>De blauwe lijn geeft aan hoeveel procent van de personen met een uitkering jonger is dan een bepaalde leeftijd.</w:t>
      </w:r>
    </w:p>
    <w:tbl>
      <w:tblPr>
        <w:tblStyle w:val="Tabelraster"/>
        <w:tblW w:w="0" w:type="auto"/>
        <w:tblInd w:w="-38" w:type="dxa"/>
        <w:tblLayout w:type="fixed"/>
        <w:tblCellMar>
          <w:left w:w="70" w:type="dxa"/>
          <w:right w:w="70" w:type="dxa"/>
        </w:tblCellMar>
        <w:tblLook w:val="04A0" w:firstRow="1" w:lastRow="0" w:firstColumn="1" w:lastColumn="0" w:noHBand="0" w:noVBand="1"/>
      </w:tblPr>
      <w:tblGrid>
        <w:gridCol w:w="4644"/>
        <w:gridCol w:w="4606"/>
      </w:tblGrid>
      <w:tr w:rsidR="000E0D62" w:rsidTr="005F6140">
        <w:trPr>
          <w:trHeight w:val="4522"/>
        </w:trPr>
        <w:tc>
          <w:tcPr>
            <w:tcW w:w="4644" w:type="dxa"/>
          </w:tcPr>
          <w:p w:rsidR="000E0D62" w:rsidRDefault="005D5FB1" w:rsidP="00146694">
            <w:pPr>
              <w:spacing w:after="0"/>
            </w:pPr>
            <w:r>
              <w:rPr>
                <w:noProof/>
                <w:lang w:eastAsia="nl-BE"/>
              </w:rPr>
              <w:lastRenderedPageBreak/>
              <w:drawing>
                <wp:inline distT="0" distB="0" distL="0" distR="0" wp14:anchorId="372BEA34" wp14:editId="2AC4ACA7">
                  <wp:extent cx="2842259" cy="28575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957" cy="2860212"/>
                          </a:xfrm>
                          <a:prstGeom prst="rect">
                            <a:avLst/>
                          </a:prstGeom>
                          <a:noFill/>
                        </pic:spPr>
                      </pic:pic>
                    </a:graphicData>
                  </a:graphic>
                </wp:inline>
              </w:drawing>
            </w:r>
          </w:p>
        </w:tc>
        <w:tc>
          <w:tcPr>
            <w:tcW w:w="4606" w:type="dxa"/>
          </w:tcPr>
          <w:p w:rsidR="005D5FB1" w:rsidRDefault="005D5FB1" w:rsidP="005D5FB1">
            <w:pPr>
              <w:spacing w:after="0"/>
            </w:pPr>
            <w:r>
              <w:t xml:space="preserve">Het percentage met een tegemoetkoming </w:t>
            </w:r>
            <w:r w:rsidR="009F797A">
              <w:t xml:space="preserve">door het Vlaams Zorgfonds </w:t>
            </w:r>
            <w:r>
              <w:t>neemt sterk toe met de leeftijd. (rode lijn).</w:t>
            </w:r>
          </w:p>
          <w:p w:rsidR="009F797A" w:rsidRDefault="009F797A" w:rsidP="005D5FB1">
            <w:pPr>
              <w:spacing w:after="0"/>
            </w:pPr>
          </w:p>
          <w:p w:rsidR="009F797A" w:rsidRDefault="009F797A" w:rsidP="005D5FB1">
            <w:pPr>
              <w:spacing w:after="0"/>
            </w:pPr>
            <w:r>
              <w:t>Om een idee van de  evolutie van de zorgvraag te krijgen kijkt men soms naar de  evolutie van het aantal 80’ers</w:t>
            </w:r>
            <w:r w:rsidR="005917C9">
              <w:t>.</w:t>
            </w:r>
          </w:p>
          <w:p w:rsidR="005917C9" w:rsidRDefault="005917C9" w:rsidP="005D5FB1">
            <w:pPr>
              <w:spacing w:after="0"/>
            </w:pPr>
            <w:r>
              <w:t>Maar:</w:t>
            </w:r>
          </w:p>
          <w:p w:rsidR="005917C9" w:rsidRDefault="005917C9" w:rsidP="005917C9">
            <w:pPr>
              <w:pStyle w:val="Lijstalinea"/>
              <w:numPr>
                <w:ilvl w:val="0"/>
                <w:numId w:val="27"/>
              </w:numPr>
              <w:spacing w:after="0"/>
              <w:ind w:left="497" w:hanging="425"/>
            </w:pPr>
            <w:r>
              <w:t>juist binnen de groep 80+ zijn er zeer grote verschillen,</w:t>
            </w:r>
          </w:p>
          <w:p w:rsidR="000E0D62" w:rsidRDefault="005917C9" w:rsidP="00836E4B">
            <w:pPr>
              <w:pStyle w:val="Lijstalinea"/>
              <w:numPr>
                <w:ilvl w:val="0"/>
                <w:numId w:val="27"/>
              </w:numPr>
              <w:spacing w:after="0"/>
              <w:ind w:left="497" w:hanging="425"/>
            </w:pPr>
            <w:r>
              <w:t xml:space="preserve">men mist dan </w:t>
            </w:r>
            <w:r w:rsidR="00836E4B">
              <w:t xml:space="preserve">30 % </w:t>
            </w:r>
            <w:r>
              <w:t>van de gerechtigden die wel ouder is dan 60 maar jonger dan 80 (blauwe lijn).</w:t>
            </w:r>
          </w:p>
          <w:p w:rsidR="005F6140" w:rsidRDefault="005F6140" w:rsidP="005F6140">
            <w:pPr>
              <w:spacing w:after="0"/>
              <w:ind w:left="72"/>
            </w:pPr>
          </w:p>
          <w:p w:rsidR="005F6140" w:rsidRPr="005F6140" w:rsidRDefault="005F6140" w:rsidP="005F6140">
            <w:pPr>
              <w:spacing w:after="0"/>
              <w:ind w:left="72"/>
              <w:rPr>
                <w:sz w:val="18"/>
                <w:szCs w:val="18"/>
              </w:rPr>
            </w:pPr>
            <w:r w:rsidRPr="005F6140">
              <w:rPr>
                <w:sz w:val="18"/>
                <w:szCs w:val="18"/>
              </w:rPr>
              <w:t xml:space="preserve">Bron: Agentschap Zorg en Gezondheid </w:t>
            </w:r>
          </w:p>
        </w:tc>
      </w:tr>
    </w:tbl>
    <w:p w:rsidR="00940787" w:rsidRDefault="00940787" w:rsidP="00146694">
      <w:pPr>
        <w:spacing w:after="0"/>
      </w:pPr>
    </w:p>
    <w:p w:rsidR="00F35B06" w:rsidRDefault="00F35B06" w:rsidP="00146694">
      <w:pPr>
        <w:spacing w:after="0"/>
      </w:pPr>
      <w:r>
        <w:t xml:space="preserve">Om zicht te krijgen op </w:t>
      </w:r>
      <w:r w:rsidR="005C4F2E">
        <w:t>de</w:t>
      </w:r>
      <w:r>
        <w:t xml:space="preserve"> impact van de demografische evolutie op de zorgvraag van ouderen is het, beter dan zich te beperken tot de  evolutie van de hoogbejaarden, </w:t>
      </w:r>
      <w:r w:rsidR="002B77F2">
        <w:t xml:space="preserve">wenselijk </w:t>
      </w:r>
      <w:r>
        <w:t>rekening te houden met alle leeftijdsgroepen maar slechts in de mate dat zij een beroep doen op het Vlaams Zorgfonds.</w:t>
      </w:r>
      <w:r w:rsidR="004C6B81">
        <w:rPr>
          <w:rStyle w:val="Voetnootmarkering"/>
        </w:rPr>
        <w:footnoteReference w:id="29"/>
      </w:r>
    </w:p>
    <w:p w:rsidR="004C6B81" w:rsidRDefault="004C6B81" w:rsidP="00146694">
      <w:pPr>
        <w:spacing w:after="0"/>
      </w:pPr>
    </w:p>
    <w:p w:rsidR="001F2794" w:rsidRDefault="005F6140" w:rsidP="00146694">
      <w:pPr>
        <w:spacing w:after="0"/>
      </w:pPr>
      <w:r>
        <w:t>Volgende kaart</w:t>
      </w:r>
      <w:r w:rsidR="00BA2EF4">
        <w:t>en</w:t>
      </w:r>
      <w:r>
        <w:t xml:space="preserve"> ge</w:t>
      </w:r>
      <w:r w:rsidR="00BA2EF4">
        <w:t xml:space="preserve">ven </w:t>
      </w:r>
      <w:r>
        <w:t>op die basis de evolutie van de zorgvraag bij ouderen.</w:t>
      </w:r>
      <w:r w:rsidR="00BA2EF4">
        <w:t xml:space="preserve"> Ter vergelijking met </w:t>
      </w:r>
      <w:r w:rsidR="00C337F2">
        <w:t xml:space="preserve">kaarten 10 en 11 is voor kaart 12a de zelfde indeling in klassen gebruikt. Om beter de lokale verschillen </w:t>
      </w:r>
      <w:r w:rsidR="005C4F2E">
        <w:t>te tonen</w:t>
      </w:r>
      <w:r w:rsidR="004C6939">
        <w:t xml:space="preserve"> </w:t>
      </w:r>
      <w:r w:rsidR="00C337F2">
        <w:t>is voor kaart 12b een andere indeling gebruikt.</w:t>
      </w:r>
    </w:p>
    <w:p w:rsidR="005718A8" w:rsidRDefault="0021703D" w:rsidP="003E59D3">
      <w:pPr>
        <w:pStyle w:val="Lijstalinea"/>
        <w:numPr>
          <w:ilvl w:val="0"/>
          <w:numId w:val="30"/>
        </w:numPr>
        <w:spacing w:after="0"/>
        <w:ind w:left="567" w:hanging="567"/>
      </w:pPr>
      <w:r>
        <w:t xml:space="preserve">Hoger </w:t>
      </w:r>
      <w:r w:rsidR="005471B1">
        <w:t xml:space="preserve">(kaart 10) </w:t>
      </w:r>
      <w:r>
        <w:t xml:space="preserve">bleek dat in de  provincie Antwerpen het aantal inwoners ouder dan 60 jaar zou toenemen met </w:t>
      </w:r>
      <w:r w:rsidR="00C261A7">
        <w:t xml:space="preserve">bijna </w:t>
      </w:r>
      <w:r>
        <w:t>20 %</w:t>
      </w:r>
      <w:r w:rsidR="00C261A7">
        <w:t xml:space="preserve"> (19,8)</w:t>
      </w:r>
      <w:r>
        <w:t xml:space="preserve">. </w:t>
      </w:r>
      <w:r w:rsidR="005718A8">
        <w:t>De toename van de zorgvraag</w:t>
      </w:r>
      <w:r w:rsidR="005471B1">
        <w:t xml:space="preserve"> </w:t>
      </w:r>
      <w:r w:rsidR="005718A8">
        <w:t>is echter bijna 26 % (25,8).</w:t>
      </w:r>
    </w:p>
    <w:p w:rsidR="00C337F2" w:rsidRDefault="00C261A7" w:rsidP="003E59D3">
      <w:pPr>
        <w:pStyle w:val="Lijstalinea"/>
        <w:numPr>
          <w:ilvl w:val="0"/>
          <w:numId w:val="30"/>
        </w:numPr>
        <w:spacing w:after="0"/>
        <w:ind w:left="567" w:hanging="567"/>
      </w:pPr>
      <w:r>
        <w:t xml:space="preserve">Voor de inwoners ouder dan 75 jaar </w:t>
      </w:r>
      <w:r w:rsidR="005471B1">
        <w:t xml:space="preserve">(kaart 11) is </w:t>
      </w:r>
      <w:r>
        <w:t xml:space="preserve">die toename ‘slechts’ iets meer dan 15 % (15,3). Het </w:t>
      </w:r>
      <w:r w:rsidR="005718A8">
        <w:t>werken met een hogere leeftijdsgroep geeft dus niet steeds een beter beeld van de toenemende zorgvraag.</w:t>
      </w:r>
      <w:r w:rsidR="003E59D3">
        <w:rPr>
          <w:rStyle w:val="Voetnootmarkering"/>
        </w:rPr>
        <w:footnoteReference w:id="30"/>
      </w:r>
      <w:r w:rsidR="005718A8">
        <w:t xml:space="preserve"> Dit komt omdat men geen rekening </w:t>
      </w:r>
      <w:r w:rsidR="005471B1">
        <w:t xml:space="preserve">houdt </w:t>
      </w:r>
      <w:r w:rsidR="005718A8">
        <w:t>met grote verschillen binnen die oudere leeftijdsgroep.</w:t>
      </w:r>
    </w:p>
    <w:p w:rsidR="003E59D3" w:rsidRDefault="00591D3A" w:rsidP="003E59D3">
      <w:pPr>
        <w:pStyle w:val="Lijstalinea"/>
        <w:numPr>
          <w:ilvl w:val="0"/>
          <w:numId w:val="30"/>
        </w:numPr>
        <w:spacing w:after="0"/>
        <w:ind w:left="567" w:hanging="567"/>
      </w:pPr>
      <w:r>
        <w:t>Voor slechts 1 op 6 gemeenten (in blauw, geel of grijs</w:t>
      </w:r>
      <w:r w:rsidR="005471B1">
        <w:t xml:space="preserve"> op kaart 12</w:t>
      </w:r>
      <w:r>
        <w:t>) is de toename kleiner dan 25 %, tegenover 1 op 2 voor de evolutie van het aantal ouder dan 75 jaar</w:t>
      </w:r>
      <w:r w:rsidR="005471B1">
        <w:t xml:space="preserve"> (kaart 11)</w:t>
      </w:r>
      <w:r>
        <w:t>.</w:t>
      </w:r>
    </w:p>
    <w:p w:rsidR="006C2445" w:rsidRDefault="00591D3A" w:rsidP="003E59D3">
      <w:pPr>
        <w:pStyle w:val="Lijstalinea"/>
        <w:numPr>
          <w:ilvl w:val="0"/>
          <w:numId w:val="30"/>
        </w:numPr>
        <w:spacing w:after="0"/>
        <w:ind w:left="567" w:hanging="567"/>
      </w:pPr>
      <w:r>
        <w:t xml:space="preserve">Voor 6 op 10 gemeenten </w:t>
      </w:r>
      <w:r w:rsidR="00977402">
        <w:t>(in donker rood</w:t>
      </w:r>
      <w:r w:rsidR="005471B1">
        <w:t xml:space="preserve"> op kaart 12</w:t>
      </w:r>
      <w:r w:rsidR="00977402">
        <w:t xml:space="preserve">) </w:t>
      </w:r>
      <w:r>
        <w:t>is de toename van de zorgvraag groter dan 35 %</w:t>
      </w:r>
      <w:r w:rsidR="00977402">
        <w:t xml:space="preserve"> (tegenover 1 op 4 voor het aantal 75</w:t>
      </w:r>
      <w:r w:rsidR="0019452D">
        <w:t>+</w:t>
      </w:r>
      <w:r w:rsidR="00977402">
        <w:t>’ers</w:t>
      </w:r>
      <w:r w:rsidR="006C2445">
        <w:t xml:space="preserve"> en tegenover 4 op 10 van de Vlaamse gemeenten</w:t>
      </w:r>
      <w:r w:rsidR="00977402">
        <w:t>).</w:t>
      </w:r>
    </w:p>
    <w:p w:rsidR="003E59D3" w:rsidRDefault="00977402" w:rsidP="006C2445">
      <w:pPr>
        <w:spacing w:after="0"/>
        <w:ind w:left="567"/>
      </w:pPr>
      <w:r>
        <w:t>In het arrondissement Turnhout en de oostelijke rand van het arrondissement Antwerpen betreft het bijna alle gemeenten.</w:t>
      </w:r>
    </w:p>
    <w:p w:rsidR="00145CB2" w:rsidRDefault="00977402" w:rsidP="003E59D3">
      <w:pPr>
        <w:pStyle w:val="Lijstalinea"/>
        <w:numPr>
          <w:ilvl w:val="0"/>
          <w:numId w:val="30"/>
        </w:numPr>
        <w:spacing w:after="0"/>
        <w:ind w:left="567" w:hanging="567"/>
      </w:pPr>
      <w:r>
        <w:t>Binnen die laatste groep gemeenten zijn er nog grote verschillen zoals blijkt uit kaart 12b.</w:t>
      </w:r>
    </w:p>
    <w:p w:rsidR="00977402" w:rsidRDefault="00145CB2" w:rsidP="00145CB2">
      <w:pPr>
        <w:spacing w:after="0"/>
        <w:ind w:left="567"/>
      </w:pPr>
      <w:r>
        <w:t>Zo is bijvoorbeeld voor 1 op 6 gemeenten in de provincie de toename groter dan 50 %.</w:t>
      </w:r>
      <w:r w:rsidR="00977402">
        <w:t xml:space="preserve"> </w:t>
      </w:r>
    </w:p>
    <w:p w:rsidR="00DF4B9E" w:rsidRDefault="00F94169" w:rsidP="00146694">
      <w:pPr>
        <w:spacing w:after="0"/>
      </w:pPr>
      <w:r w:rsidRPr="00F94169">
        <w:rPr>
          <w:highlight w:val="lightGray"/>
        </w:rPr>
        <w:lastRenderedPageBreak/>
        <w:t>Kaart 12: a &amp; b</w:t>
      </w:r>
      <w:r w:rsidR="00DF4B9E">
        <w:rPr>
          <w:noProof/>
          <w:lang w:eastAsia="nl-BE"/>
        </w:rPr>
        <w:drawing>
          <wp:inline distT="0" distB="0" distL="0" distR="0">
            <wp:extent cx="5760720" cy="407289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2_EZV_1424.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DF4B9E" w:rsidRDefault="00DF4B9E" w:rsidP="00146694">
      <w:pPr>
        <w:spacing w:after="0"/>
      </w:pPr>
    </w:p>
    <w:p w:rsidR="00F94169" w:rsidRDefault="00F94169" w:rsidP="00146694">
      <w:pPr>
        <w:spacing w:after="0"/>
      </w:pPr>
      <w:r>
        <w:rPr>
          <w:noProof/>
          <w:lang w:eastAsia="nl-BE"/>
        </w:rPr>
        <w:drawing>
          <wp:inline distT="0" distB="0" distL="0" distR="0">
            <wp:extent cx="5760720" cy="407289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2b_EZV_1424.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F94169" w:rsidRDefault="00F94169" w:rsidP="00146694">
      <w:pPr>
        <w:spacing w:after="0"/>
      </w:pPr>
    </w:p>
    <w:p w:rsidR="00836E4B" w:rsidRPr="00EC6BC9" w:rsidRDefault="00EC6BC9" w:rsidP="00EC6BC9">
      <w:pPr>
        <w:pStyle w:val="Lijstalinea"/>
        <w:numPr>
          <w:ilvl w:val="0"/>
          <w:numId w:val="1"/>
        </w:numPr>
        <w:spacing w:after="0"/>
        <w:ind w:hanging="720"/>
        <w:rPr>
          <w:b/>
          <w:color w:val="C00000"/>
          <w:sz w:val="24"/>
          <w:szCs w:val="24"/>
        </w:rPr>
      </w:pPr>
      <w:r w:rsidRPr="00EC6BC9">
        <w:rPr>
          <w:b/>
          <w:color w:val="C00000"/>
          <w:sz w:val="24"/>
          <w:szCs w:val="24"/>
        </w:rPr>
        <w:lastRenderedPageBreak/>
        <w:t>Totale bevolking</w:t>
      </w:r>
    </w:p>
    <w:p w:rsidR="00EC6BC9" w:rsidRDefault="00EC6BC9" w:rsidP="00146694">
      <w:pPr>
        <w:spacing w:after="0"/>
      </w:pPr>
    </w:p>
    <w:p w:rsidR="005217B0" w:rsidRDefault="005217B0" w:rsidP="00146694">
      <w:pPr>
        <w:spacing w:after="0"/>
      </w:pPr>
      <w:r>
        <w:t>De raming voor de totale bevolking en de onzekerheid hierover vloeien voort uit die voor de afzonderlijke leeftijdsgroepen.</w:t>
      </w:r>
    </w:p>
    <w:p w:rsidR="005217B0" w:rsidRDefault="005217B0" w:rsidP="00146694">
      <w:pPr>
        <w:spacing w:after="0"/>
      </w:pPr>
    </w:p>
    <w:p w:rsidR="005217B0" w:rsidRPr="00D35DFD" w:rsidRDefault="005217B0" w:rsidP="00B96D31">
      <w:pPr>
        <w:pStyle w:val="Lijstalinea"/>
        <w:numPr>
          <w:ilvl w:val="0"/>
          <w:numId w:val="31"/>
        </w:numPr>
        <w:spacing w:after="0"/>
        <w:ind w:left="567" w:hanging="567"/>
        <w:rPr>
          <w:b/>
          <w:i/>
          <w:color w:val="3333FF"/>
        </w:rPr>
      </w:pPr>
      <w:r w:rsidRPr="00D35DFD">
        <w:rPr>
          <w:b/>
          <w:i/>
          <w:color w:val="3333FF"/>
        </w:rPr>
        <w:t>De raming door SVR</w:t>
      </w:r>
    </w:p>
    <w:p w:rsidR="00AE3CE9" w:rsidRDefault="00AE3CE9" w:rsidP="00146694">
      <w:pPr>
        <w:spacing w:after="0"/>
      </w:pPr>
    </w:p>
    <w:p w:rsidR="00EC6BC9" w:rsidRDefault="00AE3CE9" w:rsidP="00146694">
      <w:pPr>
        <w:spacing w:after="0"/>
      </w:pPr>
      <w:r>
        <w:t>Kaart 13 geeft voor de periode 2014-2024 de procentuele evolutie van het totaal aantal inwoners volgens de prognose van SVR.</w:t>
      </w:r>
    </w:p>
    <w:p w:rsidR="00AE3CE9" w:rsidRDefault="00AE3CE9" w:rsidP="00146694">
      <w:pPr>
        <w:spacing w:after="0"/>
      </w:pPr>
    </w:p>
    <w:p w:rsidR="005217B0" w:rsidRDefault="00B502A7" w:rsidP="00146694">
      <w:pPr>
        <w:spacing w:after="0"/>
      </w:pPr>
      <w:r w:rsidRPr="00B502A7">
        <w:rPr>
          <w:highlight w:val="lightGray"/>
        </w:rPr>
        <w:t>Kaart 13</w:t>
      </w:r>
      <w:r w:rsidR="00D30453">
        <w:rPr>
          <w:noProof/>
          <w:lang w:eastAsia="nl-BE"/>
        </w:rPr>
        <w:drawing>
          <wp:inline distT="0" distB="0" distL="0" distR="0">
            <wp:extent cx="5760720" cy="407289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3_Etot_1424_svr.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rsidR="005217B0" w:rsidRDefault="005217B0" w:rsidP="00146694">
      <w:pPr>
        <w:spacing w:after="0"/>
      </w:pPr>
    </w:p>
    <w:p w:rsidR="00EC6BC9" w:rsidRDefault="00AE3CE9" w:rsidP="00AE3CE9">
      <w:pPr>
        <w:pStyle w:val="Lijstalinea"/>
        <w:numPr>
          <w:ilvl w:val="0"/>
          <w:numId w:val="31"/>
        </w:numPr>
        <w:spacing w:after="0"/>
        <w:ind w:left="567" w:hanging="567"/>
        <w:rPr>
          <w:b/>
          <w:i/>
          <w:color w:val="3333FF"/>
        </w:rPr>
      </w:pPr>
      <w:r w:rsidRPr="00AE3CE9">
        <w:rPr>
          <w:b/>
          <w:i/>
          <w:color w:val="3333FF"/>
        </w:rPr>
        <w:t>En de onzekerheid</w:t>
      </w:r>
    </w:p>
    <w:p w:rsidR="00CA5932" w:rsidRDefault="00CA5932" w:rsidP="00CA5932">
      <w:pPr>
        <w:spacing w:after="0"/>
        <w:rPr>
          <w:b/>
          <w:i/>
          <w:color w:val="3333FF"/>
        </w:rPr>
      </w:pPr>
    </w:p>
    <w:p w:rsidR="00CA5932" w:rsidRPr="00587129" w:rsidRDefault="00CA5932" w:rsidP="00CA5932">
      <w:pPr>
        <w:spacing w:after="0"/>
      </w:pPr>
      <w:r w:rsidRPr="00587129">
        <w:t>Kaart 14 geeft de evolutie op basis van enkele andere hypotheses die eerder besproken werden bij de verwachtingen voor de leeftijdsgroepen.</w:t>
      </w:r>
    </w:p>
    <w:p w:rsidR="00587129" w:rsidRPr="00A804D1" w:rsidRDefault="00446AB6" w:rsidP="00587129">
      <w:pPr>
        <w:pStyle w:val="Lijstalinea"/>
        <w:numPr>
          <w:ilvl w:val="0"/>
          <w:numId w:val="30"/>
        </w:numPr>
        <w:spacing w:after="0"/>
        <w:ind w:left="567" w:hanging="567"/>
        <w:rPr>
          <w:sz w:val="18"/>
          <w:szCs w:val="18"/>
        </w:rPr>
      </w:pPr>
      <w:r w:rsidRPr="00A804D1">
        <w:rPr>
          <w:sz w:val="18"/>
          <w:szCs w:val="18"/>
        </w:rPr>
        <w:t xml:space="preserve">Vorig decennium was gekenmerkt door een sterk toenemend buitenlands migratiesaldo. De laatste jaren nam dit af. Voor de evolutie van de 20-59 jarigen is een alternatieve raming uitgewerkt in de veronderstelling dat </w:t>
      </w:r>
      <w:r w:rsidR="00587129" w:rsidRPr="00A804D1">
        <w:rPr>
          <w:sz w:val="18"/>
          <w:szCs w:val="18"/>
        </w:rPr>
        <w:t xml:space="preserve">voor 2014-2024 </w:t>
      </w:r>
      <w:r w:rsidRPr="00A804D1">
        <w:rPr>
          <w:sz w:val="18"/>
          <w:szCs w:val="18"/>
        </w:rPr>
        <w:t xml:space="preserve">het migratiesaldo </w:t>
      </w:r>
      <w:r w:rsidR="00587129" w:rsidRPr="00A804D1">
        <w:rPr>
          <w:sz w:val="18"/>
          <w:szCs w:val="18"/>
        </w:rPr>
        <w:t>v</w:t>
      </w:r>
      <w:r w:rsidRPr="00A804D1">
        <w:rPr>
          <w:sz w:val="18"/>
          <w:szCs w:val="18"/>
        </w:rPr>
        <w:t xml:space="preserve">oor personen met een ‘andere origine’ </w:t>
      </w:r>
      <w:r w:rsidR="00587129" w:rsidRPr="00A804D1">
        <w:rPr>
          <w:sz w:val="18"/>
          <w:szCs w:val="18"/>
        </w:rPr>
        <w:t>(noch Belgisch, noch Nederlands</w:t>
      </w:r>
      <w:r w:rsidR="00A02F18">
        <w:rPr>
          <w:sz w:val="18"/>
          <w:szCs w:val="18"/>
        </w:rPr>
        <w:t>, en ongeacht of zij uit een andere gemeente of het buitenland komen</w:t>
      </w:r>
      <w:r w:rsidR="00587129" w:rsidRPr="00A804D1">
        <w:rPr>
          <w:sz w:val="18"/>
          <w:szCs w:val="18"/>
        </w:rPr>
        <w:t>) slechts de helft is van dit in de jaren 2002-2012.</w:t>
      </w:r>
    </w:p>
    <w:p w:rsidR="00CB2543" w:rsidRPr="00A804D1" w:rsidRDefault="00CB2543" w:rsidP="00587129">
      <w:pPr>
        <w:pStyle w:val="Lijstalinea"/>
        <w:numPr>
          <w:ilvl w:val="0"/>
          <w:numId w:val="30"/>
        </w:numPr>
        <w:spacing w:after="0"/>
        <w:ind w:left="567" w:hanging="567"/>
        <w:rPr>
          <w:sz w:val="18"/>
          <w:szCs w:val="18"/>
        </w:rPr>
      </w:pPr>
      <w:r w:rsidRPr="00A804D1">
        <w:rPr>
          <w:sz w:val="18"/>
          <w:szCs w:val="18"/>
        </w:rPr>
        <w:t xml:space="preserve">Vorig decennium was ook gekenmerkt door een sterk stijgend geboortecijfer. De laatste jaren nam </w:t>
      </w:r>
      <w:r w:rsidR="007B41DD" w:rsidRPr="00A804D1">
        <w:rPr>
          <w:sz w:val="18"/>
          <w:szCs w:val="18"/>
        </w:rPr>
        <w:t>dit cijfer echter af</w:t>
      </w:r>
      <w:r w:rsidRPr="00A804D1">
        <w:rPr>
          <w:sz w:val="18"/>
          <w:szCs w:val="18"/>
        </w:rPr>
        <w:t xml:space="preserve">. </w:t>
      </w:r>
      <w:r w:rsidR="00F656E4" w:rsidRPr="00A804D1">
        <w:rPr>
          <w:sz w:val="18"/>
          <w:szCs w:val="18"/>
        </w:rPr>
        <w:t>De prognose steunt op een analyse van de geboortecijfers per generatie, wat een veel stabielere evolutie geeft</w:t>
      </w:r>
      <w:r w:rsidR="007B41DD" w:rsidRPr="00A804D1">
        <w:rPr>
          <w:sz w:val="18"/>
          <w:szCs w:val="18"/>
        </w:rPr>
        <w:t xml:space="preserve">. Dit wordt bevestigd door </w:t>
      </w:r>
      <w:r w:rsidR="0045514F" w:rsidRPr="00A804D1">
        <w:rPr>
          <w:sz w:val="18"/>
          <w:szCs w:val="18"/>
        </w:rPr>
        <w:t xml:space="preserve">de evolutie van de ‘opvolging van generaties’: zijn de 0-19 jarigen voldoende talrijk om de leeftijdsgroepen van hun ouders in aantal op te volgen. </w:t>
      </w:r>
      <w:r w:rsidR="00D672F2" w:rsidRPr="00A804D1">
        <w:rPr>
          <w:sz w:val="18"/>
          <w:szCs w:val="18"/>
        </w:rPr>
        <w:t>In de periode 2004-</w:t>
      </w:r>
      <w:r w:rsidR="002942EB">
        <w:rPr>
          <w:sz w:val="18"/>
          <w:szCs w:val="18"/>
        </w:rPr>
        <w:t>20</w:t>
      </w:r>
      <w:r w:rsidR="00D672F2" w:rsidRPr="00A804D1">
        <w:rPr>
          <w:sz w:val="18"/>
          <w:szCs w:val="18"/>
        </w:rPr>
        <w:t xml:space="preserve">14 nam die opvolging licht toe (van 78,5 tot 81 %). Het alternatief trekt die  evolutie door tot 2024 (83,5 %). De projectie </w:t>
      </w:r>
      <w:r w:rsidR="002942EB">
        <w:rPr>
          <w:sz w:val="18"/>
          <w:szCs w:val="18"/>
        </w:rPr>
        <w:t xml:space="preserve">van SVR </w:t>
      </w:r>
      <w:r w:rsidR="00D672F2" w:rsidRPr="00A804D1">
        <w:rPr>
          <w:sz w:val="18"/>
          <w:szCs w:val="18"/>
        </w:rPr>
        <w:t>houdt een veel sterkere toename in (tot 87,5 %).</w:t>
      </w:r>
    </w:p>
    <w:p w:rsidR="00CA5932" w:rsidRPr="00587129" w:rsidRDefault="00A804D1" w:rsidP="00CA5932">
      <w:pPr>
        <w:spacing w:after="0"/>
      </w:pPr>
      <w:r w:rsidRPr="00A804D1">
        <w:rPr>
          <w:highlight w:val="lightGray"/>
        </w:rPr>
        <w:lastRenderedPageBreak/>
        <w:t>Kaart 14</w:t>
      </w:r>
    </w:p>
    <w:p w:rsidR="005F378D" w:rsidRDefault="00525FB0" w:rsidP="00146694">
      <w:pPr>
        <w:spacing w:after="0"/>
      </w:pPr>
      <w:r>
        <w:rPr>
          <w:noProof/>
          <w:lang w:eastAsia="nl-BE"/>
        </w:rPr>
        <w:drawing>
          <wp:inline distT="0" distB="0" distL="0" distR="0">
            <wp:extent cx="5760720" cy="407289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14_Etot_1424_alt.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tbl>
      <w:tblPr>
        <w:tblStyle w:val="Tabelraster"/>
        <w:tblW w:w="0" w:type="auto"/>
        <w:tblLayout w:type="fixed"/>
        <w:tblLook w:val="04A0" w:firstRow="1" w:lastRow="0" w:firstColumn="1" w:lastColumn="0" w:noHBand="0" w:noVBand="1"/>
      </w:tblPr>
      <w:tblGrid>
        <w:gridCol w:w="5353"/>
        <w:gridCol w:w="3935"/>
      </w:tblGrid>
      <w:tr w:rsidR="00B01452" w:rsidTr="00FD70FB">
        <w:trPr>
          <w:trHeight w:val="4748"/>
        </w:trPr>
        <w:tc>
          <w:tcPr>
            <w:tcW w:w="5353" w:type="dxa"/>
          </w:tcPr>
          <w:p w:rsidR="00B01452" w:rsidRDefault="004E074E" w:rsidP="00146694">
            <w:pPr>
              <w:spacing w:after="0"/>
            </w:pPr>
            <w:r>
              <w:rPr>
                <w:noProof/>
                <w:lang w:eastAsia="nl-BE"/>
              </w:rPr>
              <w:drawing>
                <wp:inline distT="0" distB="0" distL="0" distR="0" wp14:anchorId="4C1D26F1" wp14:editId="156BC133">
                  <wp:extent cx="3284220" cy="2857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6073" cy="2859112"/>
                          </a:xfrm>
                          <a:prstGeom prst="rect">
                            <a:avLst/>
                          </a:prstGeom>
                          <a:noFill/>
                        </pic:spPr>
                      </pic:pic>
                    </a:graphicData>
                  </a:graphic>
                </wp:inline>
              </w:drawing>
            </w:r>
          </w:p>
        </w:tc>
        <w:tc>
          <w:tcPr>
            <w:tcW w:w="3935" w:type="dxa"/>
          </w:tcPr>
          <w:p w:rsidR="002218F5" w:rsidRDefault="002218F5" w:rsidP="004E074E">
            <w:pPr>
              <w:spacing w:after="0"/>
            </w:pPr>
            <w:r>
              <w:t>Voor 5 op 6 gemeenten is het verschil tussen projectie SVR en het alternatief kleiner dan 3 %.</w:t>
            </w:r>
          </w:p>
          <w:p w:rsidR="002218F5" w:rsidRDefault="002218F5" w:rsidP="004E074E">
            <w:pPr>
              <w:spacing w:after="0"/>
            </w:pPr>
          </w:p>
          <w:p w:rsidR="00E12896" w:rsidRDefault="00F42C03" w:rsidP="004E074E">
            <w:pPr>
              <w:spacing w:after="0"/>
            </w:pPr>
            <w:r>
              <w:t>Voor 4 gemeenten aan de grens met Nederland is d</w:t>
            </w:r>
            <w:r w:rsidR="004E074E">
              <w:t xml:space="preserve">e toename is in het alternatief </w:t>
            </w:r>
            <w:r w:rsidR="002218F5">
              <w:t xml:space="preserve">minstens </w:t>
            </w:r>
            <w:r w:rsidR="00E12896">
              <w:t>3 % sterker</w:t>
            </w:r>
            <w:r>
              <w:t>.</w:t>
            </w:r>
            <w:r w:rsidR="00E12896">
              <w:rPr>
                <w:rStyle w:val="Voetnootmarkering"/>
              </w:rPr>
              <w:footnoteReference w:id="31"/>
            </w:r>
            <w:r w:rsidR="00B01452">
              <w:t xml:space="preserve"> </w:t>
            </w:r>
          </w:p>
          <w:p w:rsidR="00DA6230" w:rsidRDefault="00DA6230" w:rsidP="004E074E">
            <w:pPr>
              <w:spacing w:after="0"/>
            </w:pPr>
          </w:p>
          <w:p w:rsidR="00FD70FB" w:rsidRDefault="00E12896" w:rsidP="004E074E">
            <w:pPr>
              <w:spacing w:after="0"/>
            </w:pPr>
            <w:r>
              <w:t>Voor 7 gemeenten is de toename in het alternatief minstens 3 % minder.</w:t>
            </w:r>
          </w:p>
          <w:p w:rsidR="00181A3C" w:rsidRDefault="00FD70FB" w:rsidP="004E074E">
            <w:pPr>
              <w:spacing w:after="0"/>
            </w:pPr>
            <w:r>
              <w:t>Dit is het sterkst voor Antwerpen (3,9 % versus 10,3) en Borsbeek (-5,3 versus 1).</w:t>
            </w:r>
          </w:p>
          <w:p w:rsidR="00181A3C" w:rsidRDefault="00181A3C" w:rsidP="004E074E">
            <w:pPr>
              <w:spacing w:after="0"/>
            </w:pPr>
          </w:p>
          <w:p w:rsidR="00181A3C" w:rsidRDefault="00181A3C" w:rsidP="004E074E">
            <w:pPr>
              <w:spacing w:after="0"/>
            </w:pPr>
          </w:p>
        </w:tc>
      </w:tr>
    </w:tbl>
    <w:p w:rsidR="00AF2C38" w:rsidRDefault="00AF2C38" w:rsidP="00146694">
      <w:pPr>
        <w:spacing w:after="0"/>
      </w:pPr>
    </w:p>
    <w:p w:rsidR="00AF2C38" w:rsidRDefault="002218F5" w:rsidP="00146694">
      <w:pPr>
        <w:spacing w:after="0"/>
      </w:pPr>
      <w:r w:rsidRPr="002218F5">
        <w:t>De bedoeling is ook hier niet de ene berekening te verkiezen boven de andere, wel met twee alternatieve redelijke hypotheses de onzekerheid van iedere projectie van de bevolking te illustreren, en te onderzoeken voor welke gemeenten de resultaten sterk uiteenlopen.</w:t>
      </w:r>
    </w:p>
    <w:p w:rsidR="008615AC" w:rsidRDefault="008615AC" w:rsidP="00146694">
      <w:pPr>
        <w:spacing w:after="0"/>
      </w:pPr>
    </w:p>
    <w:p w:rsidR="008615AC" w:rsidRPr="0070257A" w:rsidRDefault="006D1A83" w:rsidP="00146694">
      <w:pPr>
        <w:spacing w:after="0"/>
        <w:rPr>
          <w:b/>
          <w:color w:val="C00000"/>
          <w:sz w:val="24"/>
          <w:szCs w:val="24"/>
        </w:rPr>
      </w:pPr>
      <w:r>
        <w:rPr>
          <w:b/>
          <w:color w:val="C00000"/>
          <w:sz w:val="24"/>
          <w:szCs w:val="24"/>
        </w:rPr>
        <w:lastRenderedPageBreak/>
        <w:t>Synthese</w:t>
      </w:r>
    </w:p>
    <w:p w:rsidR="0070257A" w:rsidRDefault="0070257A" w:rsidP="00146694">
      <w:pPr>
        <w:spacing w:after="0"/>
      </w:pPr>
    </w:p>
    <w:p w:rsidR="009F71E1" w:rsidRDefault="009F71E1" w:rsidP="00146694">
      <w:pPr>
        <w:spacing w:after="0"/>
      </w:pPr>
      <w:r>
        <w:t xml:space="preserve">Voor iedere projectie is het wenselijk er geen beleidsbesluiten aan vast te knopen zonder het nodige voorbehoud. Het is belangrijk niet alleen de resultaten te kennen, maar ook de hypotheses </w:t>
      </w:r>
      <w:r w:rsidR="00A02F18">
        <w:t xml:space="preserve">die </w:t>
      </w:r>
      <w:r>
        <w:t>gebruikt worden bij de berekeningen.</w:t>
      </w:r>
    </w:p>
    <w:p w:rsidR="009F71E1" w:rsidRDefault="009F71E1" w:rsidP="00146694">
      <w:pPr>
        <w:spacing w:after="0"/>
      </w:pPr>
      <w:r>
        <w:t>Alternatieve hypotheses die ook redelijk zijn</w:t>
      </w:r>
      <w:r w:rsidR="005C4F2E">
        <w:t>,</w:t>
      </w:r>
      <w:r>
        <w:t xml:space="preserve"> kunnen aantonen in welke mate dit tot andere resultaten kan leiden</w:t>
      </w:r>
      <w:r w:rsidR="009C116F">
        <w:t>. Dit geldt voor projecties voor grotere regio’s, maar zeker voor projecties op gemeentelijk niveau.</w:t>
      </w:r>
    </w:p>
    <w:p w:rsidR="009C116F" w:rsidRDefault="009C116F" w:rsidP="00146694">
      <w:pPr>
        <w:spacing w:after="0"/>
      </w:pPr>
    </w:p>
    <w:p w:rsidR="009C116F" w:rsidRDefault="009C116F" w:rsidP="00146694">
      <w:pPr>
        <w:spacing w:after="0"/>
      </w:pPr>
    </w:p>
    <w:p w:rsidR="0070257A" w:rsidRPr="006B17F9" w:rsidRDefault="0070257A" w:rsidP="006B17F9">
      <w:pPr>
        <w:pStyle w:val="Lijstalinea"/>
        <w:numPr>
          <w:ilvl w:val="0"/>
          <w:numId w:val="41"/>
        </w:numPr>
        <w:spacing w:after="0"/>
        <w:ind w:left="567" w:hanging="567"/>
        <w:rPr>
          <w:b/>
          <w:i/>
          <w:color w:val="3333FF"/>
        </w:rPr>
      </w:pPr>
      <w:r w:rsidRPr="006B17F9">
        <w:rPr>
          <w:b/>
          <w:i/>
          <w:color w:val="3333FF"/>
        </w:rPr>
        <w:t>Bevolking op actieve leeftijd</w:t>
      </w:r>
      <w:r w:rsidR="00ED212F" w:rsidRPr="006B17F9">
        <w:rPr>
          <w:b/>
          <w:i/>
          <w:color w:val="3333FF"/>
        </w:rPr>
        <w:t xml:space="preserve"> (20-59 jaar)</w:t>
      </w:r>
    </w:p>
    <w:p w:rsidR="0070257A" w:rsidRDefault="0070257A" w:rsidP="00146694">
      <w:pPr>
        <w:spacing w:after="0"/>
      </w:pPr>
    </w:p>
    <w:p w:rsidR="00BA6C50" w:rsidRDefault="00D27C46" w:rsidP="00146694">
      <w:pPr>
        <w:spacing w:after="0"/>
      </w:pPr>
      <w:r>
        <w:t>In de periode 2014-</w:t>
      </w:r>
      <w:r w:rsidR="005C4F2E">
        <w:t>20</w:t>
      </w:r>
      <w:r>
        <w:t xml:space="preserve">24 zou volgens de projectie van </w:t>
      </w:r>
      <w:r w:rsidR="005C4F2E">
        <w:t xml:space="preserve">SVR (Studiedienst van de  Vlaamse Regering) </w:t>
      </w:r>
      <w:r>
        <w:t xml:space="preserve">de bevolking op actieve leeftijd (hier 20-59 jaar) voor ruim de helft van het aantal gemeenten in de provincie Antwerpen met meer dan  </w:t>
      </w:r>
      <w:r w:rsidR="00BA6C50">
        <w:t>5 % afnemen.</w:t>
      </w:r>
    </w:p>
    <w:p w:rsidR="000937D9" w:rsidRDefault="000937D9" w:rsidP="00146694">
      <w:pPr>
        <w:spacing w:after="0"/>
      </w:pPr>
    </w:p>
    <w:p w:rsidR="0050131A" w:rsidRDefault="00BA6C50" w:rsidP="00146694">
      <w:pPr>
        <w:spacing w:after="0"/>
      </w:pPr>
      <w:r>
        <w:t>Dit is vooral het gevolg van de leeftijdsverdeling bij het begin</w:t>
      </w:r>
      <w:r w:rsidR="0050131A">
        <w:t xml:space="preserve">. De 10-19 jarigen zullen de </w:t>
      </w:r>
      <w:proofErr w:type="spellStart"/>
      <w:r w:rsidR="0050131A">
        <w:t>leeftijds</w:t>
      </w:r>
      <w:r w:rsidR="00D234A5">
        <w:t>-</w:t>
      </w:r>
      <w:r w:rsidR="0050131A">
        <w:t>groep</w:t>
      </w:r>
      <w:proofErr w:type="spellEnd"/>
      <w:r w:rsidR="0050131A">
        <w:t xml:space="preserve"> 20-59 jaar vervoegen en zijn veel minder talrijk dan de 50-59 jarigen die de bevolking op actieve leeftijd verlaten.</w:t>
      </w:r>
    </w:p>
    <w:p w:rsidR="0050131A" w:rsidRDefault="0050131A" w:rsidP="00146694">
      <w:pPr>
        <w:spacing w:after="0"/>
      </w:pPr>
      <w:r>
        <w:t xml:space="preserve">Dit effect van de leeftijdsverdeling wordt verzwakt door het gunstig effect van migratie. Zonder migratie zou voor bijna alle gemeenten (93 %) het aantal </w:t>
      </w:r>
      <w:r w:rsidR="00D234A5">
        <w:t>2</w:t>
      </w:r>
      <w:bookmarkStart w:id="0" w:name="_GoBack"/>
      <w:bookmarkEnd w:id="0"/>
      <w:r>
        <w:t>0-59 jarigen met meer dan 5 % afnemen, en voor 4 op 10 gemeenten zou die afname zelfs groter zijn dan 10 %.</w:t>
      </w:r>
    </w:p>
    <w:p w:rsidR="000937D9" w:rsidRDefault="000937D9" w:rsidP="00146694">
      <w:pPr>
        <w:spacing w:after="0"/>
      </w:pPr>
    </w:p>
    <w:p w:rsidR="003E133D" w:rsidRDefault="005C4F2E" w:rsidP="00146694">
      <w:pPr>
        <w:spacing w:after="0"/>
      </w:pPr>
      <w:r>
        <w:t>Voor binnenlandse migratie steunde de vorige projectie van SVR</w:t>
      </w:r>
      <w:r w:rsidR="00D25908">
        <w:t xml:space="preserve"> op enkele recente jaren. De huidige </w:t>
      </w:r>
      <w:r w:rsidR="003E133D">
        <w:t xml:space="preserve"> projectie </w:t>
      </w:r>
      <w:r w:rsidR="00D25908">
        <w:t>steunt op d</w:t>
      </w:r>
      <w:r w:rsidR="003E133D">
        <w:t>e tren</w:t>
      </w:r>
      <w:r w:rsidR="000937D9">
        <w:t>d</w:t>
      </w:r>
      <w:r w:rsidR="003E133D">
        <w:t xml:space="preserve"> in een veel langere periode en is hierdoor veel minder gevoelig voor schommelingen.</w:t>
      </w:r>
    </w:p>
    <w:p w:rsidR="00644849" w:rsidRDefault="00644849" w:rsidP="00146694">
      <w:pPr>
        <w:spacing w:after="0"/>
        <w:rPr>
          <w:color w:val="FF0000"/>
        </w:rPr>
      </w:pPr>
    </w:p>
    <w:p w:rsidR="00917BD9" w:rsidRPr="00FD487D" w:rsidRDefault="003E133D" w:rsidP="00146694">
      <w:pPr>
        <w:spacing w:after="0"/>
      </w:pPr>
      <w:r w:rsidRPr="00FD487D">
        <w:t>Meer  onzekerheid is er wel over de internationale migratie.</w:t>
      </w:r>
      <w:r w:rsidR="00286247" w:rsidRPr="00FD487D">
        <w:t xml:space="preserve"> In de observatieperiode 1997-2013 was er een zeer sterke toename van de inwijking uit het buitenland. </w:t>
      </w:r>
      <w:r w:rsidR="00917BD9" w:rsidRPr="00FD487D">
        <w:t>De jongste jaren zette zich echter een daling in. SVR veronderstelt een terugkeer tegen 2025 naar het niveau voor de jaren 2003-2007, toch nog een hoog niveau.</w:t>
      </w:r>
    </w:p>
    <w:p w:rsidR="00FD487D" w:rsidRDefault="00FD487D" w:rsidP="00146694">
      <w:pPr>
        <w:spacing w:after="0"/>
        <w:rPr>
          <w:color w:val="FF0000"/>
        </w:rPr>
      </w:pPr>
    </w:p>
    <w:p w:rsidR="00917BD9" w:rsidRPr="00ED212F" w:rsidRDefault="00FD487D" w:rsidP="00146694">
      <w:pPr>
        <w:spacing w:after="0"/>
      </w:pPr>
      <w:r w:rsidRPr="00ED212F">
        <w:t xml:space="preserve">In de studie ‘Lokale demografie. Kleuren of krimpen’ onderzocht de provincie Antwerpen voor de periode 2002-2012 de evolutie van de bevolking opgesplitst naar origine: </w:t>
      </w:r>
      <w:r w:rsidR="00F07C95" w:rsidRPr="00ED212F">
        <w:t>‘</w:t>
      </w:r>
      <w:r w:rsidRPr="00ED212F">
        <w:t>Belgisch of Nederlands</w:t>
      </w:r>
      <w:r w:rsidR="00F07C95" w:rsidRPr="00ED212F">
        <w:t>’</w:t>
      </w:r>
      <w:r w:rsidRPr="00ED212F">
        <w:t xml:space="preserve"> versus </w:t>
      </w:r>
      <w:r w:rsidR="00F07C95" w:rsidRPr="00ED212F">
        <w:t>‘</w:t>
      </w:r>
      <w:r w:rsidRPr="00ED212F">
        <w:t>andere</w:t>
      </w:r>
      <w:r w:rsidR="00F07C95" w:rsidRPr="00ED212F">
        <w:t>’</w:t>
      </w:r>
      <w:r w:rsidRPr="00ED212F">
        <w:t>. Die studie geeft de basis voor een alternatieve projectie.</w:t>
      </w:r>
      <w:r w:rsidR="00F07C95" w:rsidRPr="00ED212F">
        <w:t xml:space="preserve"> Verondersteld wordt dat het migratiesaldo voor de bevolking met andere origine in de periode 2014-2024 halveert.</w:t>
      </w:r>
    </w:p>
    <w:p w:rsidR="00F07C95" w:rsidRPr="00ED212F" w:rsidRDefault="00F07C95" w:rsidP="00146694">
      <w:pPr>
        <w:spacing w:after="0"/>
      </w:pPr>
    </w:p>
    <w:p w:rsidR="00F07C95" w:rsidRPr="00ED212F" w:rsidRDefault="00F07C95" w:rsidP="00146694">
      <w:pPr>
        <w:spacing w:after="0"/>
      </w:pPr>
      <w:r w:rsidRPr="00ED212F">
        <w:t xml:space="preserve">Vergelijking van dit alternatief met de projectie van SVR geeft voor de evolutie van alle 20-59 jarigen voor 3 op 4 gemeenten een gering verschil (kleiner dan 2,5 %). </w:t>
      </w:r>
      <w:r w:rsidR="00ED212F" w:rsidRPr="00ED212F">
        <w:t xml:space="preserve"> Voor 1 op 10 gemeenten zou de toename echter veel geringer zijn (bijvoorbeeld voor Antwerpen 2 % tegenover 8 %) of de afname nog groter (bijvoorbeeld voor Borsbeek 14 tegenover 10 % en voor Turnhout 7 tegenover 3 %).</w:t>
      </w:r>
    </w:p>
    <w:p w:rsidR="009C116F" w:rsidRDefault="009C116F">
      <w:pPr>
        <w:spacing w:after="0" w:line="240" w:lineRule="auto"/>
        <w:rPr>
          <w:color w:val="FF0000"/>
        </w:rPr>
      </w:pPr>
      <w:r>
        <w:rPr>
          <w:color w:val="FF0000"/>
        </w:rPr>
        <w:br w:type="page"/>
      </w:r>
    </w:p>
    <w:p w:rsidR="00ED212F" w:rsidRPr="006B17F9" w:rsidRDefault="006B17F9" w:rsidP="006B17F9">
      <w:pPr>
        <w:pStyle w:val="Lijstalinea"/>
        <w:numPr>
          <w:ilvl w:val="0"/>
          <w:numId w:val="41"/>
        </w:numPr>
        <w:spacing w:after="0"/>
        <w:ind w:left="567" w:hanging="567"/>
        <w:rPr>
          <w:b/>
          <w:i/>
          <w:color w:val="3333FF"/>
        </w:rPr>
      </w:pPr>
      <w:r w:rsidRPr="006B17F9">
        <w:rPr>
          <w:b/>
          <w:i/>
          <w:color w:val="3333FF"/>
        </w:rPr>
        <w:lastRenderedPageBreak/>
        <w:t>Jongeren (0-19 jaar)</w:t>
      </w:r>
    </w:p>
    <w:p w:rsidR="006B17F9" w:rsidRDefault="006B17F9" w:rsidP="00ED212F">
      <w:pPr>
        <w:spacing w:after="0"/>
        <w:ind w:left="360" w:hanging="360"/>
        <w:rPr>
          <w:color w:val="FF0000"/>
        </w:rPr>
      </w:pPr>
    </w:p>
    <w:p w:rsidR="00531392" w:rsidRPr="004917CB" w:rsidRDefault="004917CB" w:rsidP="004B4E18">
      <w:pPr>
        <w:spacing w:after="0"/>
        <w:rPr>
          <w:color w:val="00B050"/>
        </w:rPr>
      </w:pPr>
      <w:r w:rsidRPr="004917CB">
        <w:rPr>
          <w:color w:val="00B050"/>
        </w:rPr>
        <w:t>geboortes</w:t>
      </w:r>
    </w:p>
    <w:p w:rsidR="004917CB" w:rsidRDefault="004917CB">
      <w:pPr>
        <w:spacing w:after="0" w:line="240" w:lineRule="auto"/>
      </w:pPr>
    </w:p>
    <w:p w:rsidR="00F50BCA" w:rsidRDefault="00333179" w:rsidP="004B4E18">
      <w:pPr>
        <w:spacing w:after="0"/>
      </w:pPr>
      <w:r>
        <w:t xml:space="preserve">Voor hypotheses over geboortes steunde SVR niet op de evolutie van geboortes per kalenderjaar, maar op de ‘afstamming per generatie’: hoeveel kinderen krijgt een groep vrouwen geboren in een zelfde kalenderjaar. </w:t>
      </w:r>
    </w:p>
    <w:p w:rsidR="00F50BCA" w:rsidRDefault="0008513B" w:rsidP="004B4E18">
      <w:pPr>
        <w:spacing w:after="0"/>
      </w:pPr>
      <w:r>
        <w:t>De eindafstamming stabiliseert voor Vlaanderen</w:t>
      </w:r>
      <w:r w:rsidR="00142143">
        <w:t xml:space="preserve"> </w:t>
      </w:r>
      <w:r>
        <w:t xml:space="preserve">rond 175 kinderen per 100 vrouwen. </w:t>
      </w:r>
      <w:r w:rsidR="00142143">
        <w:t>De generaties 1960-1972 kregen hun kinderen wel op steeds latere leeftijd. Voor jongere generaties zette die trend zich niet door</w:t>
      </w:r>
      <w:r w:rsidR="00F50BCA">
        <w:t xml:space="preserve">, terwijl oudere generaties aan een inhaalbeweging begonnen. Dit leidde in vorig decennium tot een sterke stijging van het ‘totaal vruchtbaarheidscijfer’, dat de jongste jaren wel terug daalde. </w:t>
      </w:r>
    </w:p>
    <w:p w:rsidR="004917CB" w:rsidRDefault="004917CB" w:rsidP="004B4E18">
      <w:pPr>
        <w:spacing w:after="0"/>
      </w:pPr>
    </w:p>
    <w:p w:rsidR="000F0815" w:rsidRDefault="000F0815" w:rsidP="004B4E18">
      <w:pPr>
        <w:spacing w:after="0"/>
      </w:pPr>
      <w:r>
        <w:t xml:space="preserve">De prognose werkt </w:t>
      </w:r>
      <w:r w:rsidR="00F84033">
        <w:t xml:space="preserve">voor de periode 2014-2024 </w:t>
      </w:r>
      <w:r>
        <w:t>met  een bijna constant blijvende eindafstamming</w:t>
      </w:r>
      <w:r w:rsidR="00B34A26">
        <w:t xml:space="preserve"> voor Vlaanderen. De </w:t>
      </w:r>
      <w:r>
        <w:t xml:space="preserve">lokale verschillen </w:t>
      </w:r>
      <w:r w:rsidR="00B34A26">
        <w:t xml:space="preserve">worden ook bijna  constant gehouden aan die voor de jaren 2010-2012, dit </w:t>
      </w:r>
      <w:r w:rsidR="00F84033">
        <w:t>bij gebrek aan oudere cijfers op lokaal niveau.</w:t>
      </w:r>
    </w:p>
    <w:p w:rsidR="008B630E" w:rsidRDefault="00E34C1D" w:rsidP="004B4E18">
      <w:pPr>
        <w:spacing w:after="0"/>
      </w:pPr>
      <w:r>
        <w:t xml:space="preserve">Voor vroegere jaren is het echter wel mogelijk de geboortes in een gemeente te vergelijken met het aantal geboortes te verwachten op basis van Vlaamse vruchtbaarheidscijfers. </w:t>
      </w:r>
      <w:r w:rsidR="008B630E">
        <w:t xml:space="preserve">De lokale verschillen </w:t>
      </w:r>
      <w:r>
        <w:t>blijken dan niet constant te zijn.</w:t>
      </w:r>
      <w:r w:rsidR="008B630E">
        <w:t xml:space="preserve"> </w:t>
      </w:r>
    </w:p>
    <w:p w:rsidR="000F0815" w:rsidRDefault="000F0815" w:rsidP="004B4E18">
      <w:pPr>
        <w:spacing w:after="0"/>
      </w:pPr>
    </w:p>
    <w:p w:rsidR="004917CB" w:rsidRPr="004917CB" w:rsidRDefault="004917CB" w:rsidP="004B4E18">
      <w:pPr>
        <w:spacing w:after="0"/>
        <w:rPr>
          <w:color w:val="00B050"/>
        </w:rPr>
      </w:pPr>
      <w:r w:rsidRPr="004917CB">
        <w:rPr>
          <w:color w:val="00B050"/>
        </w:rPr>
        <w:t>0-19 jarigen</w:t>
      </w:r>
    </w:p>
    <w:p w:rsidR="004917CB" w:rsidRDefault="004917CB" w:rsidP="004B4E18">
      <w:pPr>
        <w:spacing w:after="0"/>
      </w:pPr>
    </w:p>
    <w:p w:rsidR="00C13EE7" w:rsidRDefault="00564C18" w:rsidP="004B4E18">
      <w:pPr>
        <w:spacing w:after="0"/>
      </w:pPr>
      <w:r>
        <w:t xml:space="preserve">Een raming van het aantal 0-19 jarigen is </w:t>
      </w:r>
      <w:r w:rsidR="004917CB">
        <w:t xml:space="preserve">ook </w:t>
      </w:r>
      <w:r>
        <w:t xml:space="preserve">mogelijk zonder eerst de geboortes te bepalen. </w:t>
      </w:r>
      <w:r w:rsidR="006419FD">
        <w:t xml:space="preserve">De vraag wordt dan: </w:t>
      </w:r>
      <w:r w:rsidR="00B34A26">
        <w:t>“</w:t>
      </w:r>
      <w:r w:rsidR="006419FD">
        <w:t xml:space="preserve"> is het aantal jongeren voldoende om </w:t>
      </w:r>
      <w:r w:rsidR="00E0385B">
        <w:t xml:space="preserve">de leeftijdsgroepen van </w:t>
      </w:r>
      <w:r w:rsidR="006419FD">
        <w:t>hun ouders in aantal op te volgen</w:t>
      </w:r>
      <w:r w:rsidR="00B34A26">
        <w:t>?”</w:t>
      </w:r>
      <w:r w:rsidR="00E0385B">
        <w:t xml:space="preserve"> </w:t>
      </w:r>
      <w:r w:rsidR="00B141EA">
        <w:t>Voor Vlaandere</w:t>
      </w:r>
      <w:r w:rsidR="001161EF">
        <w:t>n</w:t>
      </w:r>
      <w:r w:rsidR="00B141EA">
        <w:t xml:space="preserve"> stee</w:t>
      </w:r>
      <w:r w:rsidR="001161EF">
        <w:t>g</w:t>
      </w:r>
      <w:r w:rsidR="00B141EA">
        <w:t xml:space="preserve"> d</w:t>
      </w:r>
      <w:r w:rsidR="006419FD">
        <w:t>e v</w:t>
      </w:r>
      <w:r w:rsidR="00E0385B">
        <w:t xml:space="preserve">erhouding tussen beide aantallen </w:t>
      </w:r>
      <w:r w:rsidR="00C13EE7">
        <w:t>licht in de periode 2004-2014 na afname in de voorgaande jaren. In de prognose van SVR neemt zij sterk toe tegen 2024.</w:t>
      </w:r>
    </w:p>
    <w:p w:rsidR="004917CB" w:rsidRDefault="004917CB" w:rsidP="004B4E18">
      <w:pPr>
        <w:spacing w:after="0"/>
      </w:pPr>
    </w:p>
    <w:p w:rsidR="00A76FE1" w:rsidRDefault="00A76FE1" w:rsidP="004B4E18">
      <w:pPr>
        <w:spacing w:after="0"/>
      </w:pPr>
      <w:r>
        <w:t>De prognose leidt tot onzekerheid wegens de recente daling van het aantal geboortes en het steunen op lokale verschillen in een slechts korte periode.</w:t>
      </w:r>
    </w:p>
    <w:p w:rsidR="00B141EA" w:rsidRDefault="00A76FE1" w:rsidP="004B4E18">
      <w:pPr>
        <w:spacing w:after="0"/>
      </w:pPr>
      <w:r>
        <w:t>Een alternatieve raming steunt op</w:t>
      </w:r>
      <w:r w:rsidR="00887F25">
        <w:t xml:space="preserve"> de verhouding tussen aantal 0-19 jarigen en 20-59 jarigen. </w:t>
      </w:r>
      <w:r w:rsidR="00B141EA">
        <w:t>De verhouding tussen beide neemt slechts licht toe zoals in de periode 2004-2014. De lokale verschillen blijven constant en steunen op geboortes in een lange periode (1994-2014).</w:t>
      </w:r>
    </w:p>
    <w:p w:rsidR="002A7D05" w:rsidRDefault="002A7D05" w:rsidP="004B4E18">
      <w:pPr>
        <w:spacing w:after="0"/>
      </w:pPr>
    </w:p>
    <w:p w:rsidR="002A7D05" w:rsidRDefault="00B141EA" w:rsidP="004B4E18">
      <w:pPr>
        <w:spacing w:after="0"/>
      </w:pPr>
      <w:r>
        <w:t>In welke mate leiden de twee benaderingen tot verschillende resultaten</w:t>
      </w:r>
      <w:r w:rsidR="002A7D05">
        <w:t>?</w:t>
      </w:r>
    </w:p>
    <w:p w:rsidR="002A7D05" w:rsidRDefault="002A7D05" w:rsidP="0097197B">
      <w:pPr>
        <w:pStyle w:val="Lijstalinea"/>
        <w:numPr>
          <w:ilvl w:val="0"/>
          <w:numId w:val="42"/>
        </w:numPr>
        <w:spacing w:after="0"/>
        <w:ind w:left="567" w:hanging="567"/>
      </w:pPr>
      <w:r>
        <w:t>De projectie van SVR geeft voor de periode 2014-2024 slechts voor 1 op 10 gemeenten een afname met meer dan 5 % (tegenover ruim de helft van de gemeenten voor de 20-59 jarigen). Voor 1 op 7 gemeenten geeft zij een toename met meer dan 10 %.</w:t>
      </w:r>
    </w:p>
    <w:p w:rsidR="0097197B" w:rsidRDefault="00AB50BD" w:rsidP="0097197B">
      <w:pPr>
        <w:pStyle w:val="Lijstalinea"/>
        <w:numPr>
          <w:ilvl w:val="0"/>
          <w:numId w:val="42"/>
        </w:numPr>
        <w:spacing w:after="0"/>
        <w:ind w:left="567" w:hanging="567"/>
      </w:pPr>
      <w:r>
        <w:t>De alternatieve raming geeft voor 1 op 3 gemeenten een afname met meer dan 5 %</w:t>
      </w:r>
      <w:r w:rsidR="0097197B">
        <w:t>. V</w:t>
      </w:r>
      <w:r>
        <w:t xml:space="preserve">oor slechts 2 gemeenten </w:t>
      </w:r>
      <w:r w:rsidR="0097197B">
        <w:t xml:space="preserve">is de </w:t>
      </w:r>
      <w:r>
        <w:t>toename meer dan 10 %.</w:t>
      </w:r>
      <w:r w:rsidR="0097197B">
        <w:t xml:space="preserve"> Voor ruim de helft van het aantal gemeenten verschilt de procentuele evolutie meer dan 5</w:t>
      </w:r>
      <w:r w:rsidR="002B77F2">
        <w:t xml:space="preserve"> procentpunten</w:t>
      </w:r>
      <w:r w:rsidR="0097197B">
        <w:t>.</w:t>
      </w:r>
    </w:p>
    <w:p w:rsidR="0069432D" w:rsidRDefault="0069432D" w:rsidP="0097197B">
      <w:pPr>
        <w:pStyle w:val="Lijstalinea"/>
        <w:numPr>
          <w:ilvl w:val="0"/>
          <w:numId w:val="42"/>
        </w:numPr>
        <w:spacing w:after="0"/>
        <w:ind w:left="567" w:hanging="567"/>
      </w:pPr>
      <w:r>
        <w:t>In het voorgaande werd dan nog geen rekening gehouden met de onzekerheid over de hypotheses betreffende de evolutie van de leeftijdsgroepen van de ouders. Voor bijvoorbeeld stad Antwerpen kan de toename dan 20 % bedragen</w:t>
      </w:r>
      <w:r w:rsidR="00CA54F0">
        <w:t xml:space="preserve"> (SVR)</w:t>
      </w:r>
      <w:r>
        <w:t xml:space="preserve">, maar ook beperkt blijven tot 12 % </w:t>
      </w:r>
      <w:r w:rsidR="00CA54F0">
        <w:t xml:space="preserve">(minder sterke stijging opvolging generaties) </w:t>
      </w:r>
      <w:r>
        <w:t>en zelfs tot 6 %</w:t>
      </w:r>
      <w:r w:rsidR="00CA54F0">
        <w:t xml:space="preserve"> (verminderde migratie)</w:t>
      </w:r>
      <w:r>
        <w:t>.</w:t>
      </w:r>
    </w:p>
    <w:p w:rsidR="0097197B" w:rsidRDefault="0097197B" w:rsidP="004B4E18">
      <w:pPr>
        <w:spacing w:after="0"/>
      </w:pPr>
      <w:r>
        <w:lastRenderedPageBreak/>
        <w:t xml:space="preserve">De evolutie van het aantal 0-19 jarigen is op </w:t>
      </w:r>
      <w:r w:rsidR="0069432D">
        <w:t>gemeentelijk niveau en voor periodes van 10 jaar of meer erg onzeker. Voor een kortere periode van bijvoorbeeld 5 jaar zullen uiteenlopende scenario’s wel veel meer gelijkende resultaten geven.</w:t>
      </w:r>
      <w:r w:rsidR="00AB262A">
        <w:t xml:space="preserve"> Zeker voor deze leeftijdsgroep is het wenselijk slechts voor een korte periode besluiten voor het beleid te trekken. </w:t>
      </w:r>
    </w:p>
    <w:p w:rsidR="00F84033" w:rsidRDefault="00F84033" w:rsidP="004B4E18">
      <w:pPr>
        <w:spacing w:after="0"/>
      </w:pPr>
    </w:p>
    <w:p w:rsidR="003E133D" w:rsidRDefault="00AB262A" w:rsidP="001161EF">
      <w:pPr>
        <w:pStyle w:val="Lijstalinea"/>
        <w:numPr>
          <w:ilvl w:val="0"/>
          <w:numId w:val="41"/>
        </w:numPr>
        <w:spacing w:after="0"/>
        <w:ind w:left="567" w:hanging="567"/>
        <w:rPr>
          <w:b/>
          <w:i/>
          <w:color w:val="3333FF"/>
        </w:rPr>
      </w:pPr>
      <w:r w:rsidRPr="001161EF">
        <w:rPr>
          <w:b/>
          <w:i/>
          <w:color w:val="3333FF"/>
        </w:rPr>
        <w:t>Bevolking op pensioenleeftijd</w:t>
      </w:r>
      <w:r w:rsidR="009C116F">
        <w:rPr>
          <w:b/>
          <w:i/>
          <w:color w:val="3333FF"/>
        </w:rPr>
        <w:t xml:space="preserve"> (60 jaar en ouder)</w:t>
      </w:r>
    </w:p>
    <w:p w:rsidR="009C116F" w:rsidRDefault="009C116F" w:rsidP="009C116F">
      <w:pPr>
        <w:spacing w:after="0"/>
        <w:rPr>
          <w:b/>
          <w:i/>
          <w:color w:val="3333FF"/>
        </w:rPr>
      </w:pPr>
    </w:p>
    <w:p w:rsidR="00204733" w:rsidRPr="00204733" w:rsidRDefault="00204733" w:rsidP="009C116F">
      <w:pPr>
        <w:spacing w:after="0"/>
        <w:rPr>
          <w:color w:val="00B050"/>
        </w:rPr>
      </w:pPr>
      <w:r w:rsidRPr="00204733">
        <w:rPr>
          <w:color w:val="00B050"/>
        </w:rPr>
        <w:t>Een minder onzekere evolutie</w:t>
      </w:r>
    </w:p>
    <w:p w:rsidR="00204733" w:rsidRDefault="00204733" w:rsidP="009C116F">
      <w:pPr>
        <w:spacing w:after="0"/>
      </w:pPr>
    </w:p>
    <w:p w:rsidR="001A2591" w:rsidRDefault="001A2591" w:rsidP="009C116F">
      <w:pPr>
        <w:spacing w:after="0"/>
      </w:pPr>
      <w:r>
        <w:t xml:space="preserve">De projectie voor de bevolking op pensioenleeftijd geeft minder aanleiding tot alternatieve hypotheses. </w:t>
      </w:r>
    </w:p>
    <w:p w:rsidR="009C116F" w:rsidRDefault="001A2591" w:rsidP="009C116F">
      <w:pPr>
        <w:spacing w:after="0"/>
      </w:pPr>
      <w:r>
        <w:t xml:space="preserve">Op gemeentelijke niveau is migratie niet verwaarloosbaar, maar de meest onzekere migratie </w:t>
      </w:r>
      <w:r w:rsidR="009B0D3E">
        <w:t xml:space="preserve">namelijk die </w:t>
      </w:r>
      <w:r>
        <w:t>met het buitenland is wel beperkt.</w:t>
      </w:r>
    </w:p>
    <w:p w:rsidR="00650EAC" w:rsidRDefault="009B0D3E" w:rsidP="009C116F">
      <w:pPr>
        <w:spacing w:after="0"/>
      </w:pPr>
      <w:r>
        <w:t>De sterfterisico’s voor Vlaanderen tonen een duidelijke trend: afnemend, maar wel steeds minder sterk.</w:t>
      </w:r>
      <w:r w:rsidR="00650EAC">
        <w:t xml:space="preserve"> Buiten Antwerpen en Gent worden de gemeenten opgesplitst op basis van drie sterfteniveaus.</w:t>
      </w:r>
      <w:r w:rsidR="00C65C38">
        <w:t xml:space="preserve"> Overigens wordt de evolutie van de leeftijdsgroepen slechts weinig beïnvloed door de dalende sterfterisico’s.</w:t>
      </w:r>
    </w:p>
    <w:p w:rsidR="00C65C38" w:rsidRDefault="00C65C38" w:rsidP="009C116F">
      <w:pPr>
        <w:spacing w:after="0"/>
      </w:pPr>
    </w:p>
    <w:p w:rsidR="00204733" w:rsidRPr="00204733" w:rsidRDefault="00204733" w:rsidP="009C116F">
      <w:pPr>
        <w:spacing w:after="0"/>
        <w:rPr>
          <w:color w:val="00B050"/>
        </w:rPr>
      </w:pPr>
      <w:r w:rsidRPr="00204733">
        <w:rPr>
          <w:color w:val="00B050"/>
        </w:rPr>
        <w:t>Beleidsconclusies</w:t>
      </w:r>
      <w:r w:rsidR="00A97720">
        <w:rPr>
          <w:color w:val="00B050"/>
        </w:rPr>
        <w:t>: grote verschillen binnen de groep en tussen de gemeenten</w:t>
      </w:r>
    </w:p>
    <w:p w:rsidR="00204733" w:rsidRDefault="00204733" w:rsidP="009C116F">
      <w:pPr>
        <w:spacing w:after="0"/>
      </w:pPr>
    </w:p>
    <w:p w:rsidR="00E441A6" w:rsidRDefault="002064FC" w:rsidP="009C116F">
      <w:pPr>
        <w:spacing w:after="0"/>
      </w:pPr>
      <w:r>
        <w:t xml:space="preserve">Voorbehoud dient wel gemaakt bij het te vlug trekken van </w:t>
      </w:r>
      <w:r w:rsidR="00252AAE">
        <w:t>beleidsconclusies zonder gedetailleerd onderzoek van de cijfers.</w:t>
      </w:r>
      <w:r w:rsidR="00E441A6">
        <w:t xml:space="preserve"> </w:t>
      </w:r>
    </w:p>
    <w:p w:rsidR="00A97720" w:rsidRDefault="00A97720" w:rsidP="009C116F">
      <w:pPr>
        <w:spacing w:after="0"/>
      </w:pPr>
    </w:p>
    <w:p w:rsidR="006C7101" w:rsidRDefault="00E441A6" w:rsidP="009C116F">
      <w:pPr>
        <w:spacing w:after="0"/>
      </w:pPr>
      <w:r>
        <w:t>De toename van het aantal inwoners ouder dan 60 jaar heeft te maken met de babyboom na wereldoorlog II. Het zou echter voorbarig zijn hieruit te besluiten dat de toename van het aantal oudere senioren pas voor later is. In de provincie Antwerpen neemt in de periode 2014-2024 het aantal ouder dan 60 jaar toe met 20</w:t>
      </w:r>
      <w:r w:rsidR="006C7101">
        <w:t>,1</w:t>
      </w:r>
      <w:r>
        <w:t xml:space="preserve"> %</w:t>
      </w:r>
      <w:r w:rsidR="006C7101">
        <w:t>, maar ook het aantal ouder dan 75 jaar neemt al toe met 15,3 %.</w:t>
      </w:r>
    </w:p>
    <w:p w:rsidR="00A97720" w:rsidRDefault="00A97720" w:rsidP="009C116F">
      <w:pPr>
        <w:spacing w:after="0"/>
      </w:pPr>
    </w:p>
    <w:p w:rsidR="0056750E" w:rsidRDefault="006C7101" w:rsidP="009C116F">
      <w:pPr>
        <w:spacing w:after="0"/>
      </w:pPr>
      <w:r>
        <w:t xml:space="preserve">Om zicht te krijgen op </w:t>
      </w:r>
      <w:r w:rsidR="002B77F2">
        <w:t>d</w:t>
      </w:r>
      <w:r w:rsidR="0030263B">
        <w:t xml:space="preserve">e impact van de demografische evolutie op de zorgvraag van ouderen </w:t>
      </w:r>
      <w:r w:rsidR="002B77F2">
        <w:t xml:space="preserve">is </w:t>
      </w:r>
      <w:r w:rsidR="0030263B">
        <w:t>het, beter dan zich te beperken tot een hoger</w:t>
      </w:r>
      <w:r w:rsidR="00204733">
        <w:t>e</w:t>
      </w:r>
      <w:r w:rsidR="0030263B">
        <w:t xml:space="preserve"> leeftijdsgroep, </w:t>
      </w:r>
      <w:r w:rsidR="002B77F2">
        <w:t xml:space="preserve">wenselijk </w:t>
      </w:r>
      <w:r w:rsidR="0030263B">
        <w:t>rekening te houden met alle leeftijdsgroepen</w:t>
      </w:r>
      <w:r w:rsidR="00204733">
        <w:t xml:space="preserve"> en hun verschillen in zorgvraag (bijvoorbeeld via de mate waarin zij een beroep doen op het Vlaams Zorgfonds). </w:t>
      </w:r>
      <w:r w:rsidR="00102614">
        <w:t>De zorgvraag bij ouderen in de provincie zou in de periode 2014-2024 al toenemen met 26 %.</w:t>
      </w:r>
      <w:r w:rsidR="00A97720">
        <w:t xml:space="preserve"> Voor 2 op 3 gemeenten is die toename zelfs groter dan 33 % en voor 1 op 6 meer dan 50 %.</w:t>
      </w:r>
    </w:p>
    <w:p w:rsidR="0056750E" w:rsidRDefault="0056750E" w:rsidP="009C116F">
      <w:pPr>
        <w:spacing w:after="0"/>
      </w:pPr>
    </w:p>
    <w:p w:rsidR="00C65C38" w:rsidRPr="0056750E" w:rsidRDefault="0056750E" w:rsidP="0056750E">
      <w:pPr>
        <w:pStyle w:val="Lijstalinea"/>
        <w:numPr>
          <w:ilvl w:val="0"/>
          <w:numId w:val="41"/>
        </w:numPr>
        <w:spacing w:after="0"/>
        <w:ind w:left="567" w:hanging="567"/>
        <w:rPr>
          <w:b/>
          <w:i/>
          <w:color w:val="3333FF"/>
        </w:rPr>
      </w:pPr>
      <w:r w:rsidRPr="0056750E">
        <w:rPr>
          <w:b/>
          <w:i/>
          <w:color w:val="3333FF"/>
        </w:rPr>
        <w:t>Totale bevolking</w:t>
      </w:r>
      <w:r w:rsidR="00A97720" w:rsidRPr="0056750E">
        <w:rPr>
          <w:b/>
          <w:i/>
          <w:color w:val="3333FF"/>
        </w:rPr>
        <w:t xml:space="preserve"> </w:t>
      </w:r>
      <w:r w:rsidR="006C7101" w:rsidRPr="0056750E">
        <w:rPr>
          <w:b/>
          <w:i/>
          <w:color w:val="3333FF"/>
        </w:rPr>
        <w:t xml:space="preserve">   </w:t>
      </w:r>
    </w:p>
    <w:p w:rsidR="00650EAC" w:rsidRDefault="00650EAC" w:rsidP="009C116F">
      <w:pPr>
        <w:spacing w:after="0"/>
      </w:pPr>
    </w:p>
    <w:p w:rsidR="002E4438" w:rsidRDefault="002E4438" w:rsidP="002E4438">
      <w:pPr>
        <w:spacing w:after="0"/>
      </w:pPr>
      <w:r>
        <w:t>Voor 5 op 6 gemeenten is het verschil tussen projectie SVR en het alternatief kleiner dan 3 %.</w:t>
      </w:r>
    </w:p>
    <w:p w:rsidR="002E4438" w:rsidRDefault="00CD7E77" w:rsidP="002E4438">
      <w:pPr>
        <w:spacing w:after="0"/>
      </w:pPr>
      <w:r>
        <w:t xml:space="preserve">Voor enkele gemeenten is er wel een groot verschil. Dit is het sterkst voor  </w:t>
      </w:r>
      <w:r w:rsidR="002E4438">
        <w:t>Antwerpen (</w:t>
      </w:r>
      <w:r>
        <w:t>+</w:t>
      </w:r>
      <w:r w:rsidR="002E4438">
        <w:t xml:space="preserve">3,9 % versus </w:t>
      </w:r>
      <w:r>
        <w:t>+</w:t>
      </w:r>
      <w:r w:rsidR="002E4438">
        <w:t>10,3) en Borsbeek (-5,3 versus 1).</w:t>
      </w:r>
    </w:p>
    <w:p w:rsidR="00C65C38" w:rsidRDefault="00C65C38" w:rsidP="009C116F">
      <w:pPr>
        <w:spacing w:after="0"/>
      </w:pPr>
    </w:p>
    <w:p w:rsidR="009B0D3E" w:rsidRDefault="009B0D3E" w:rsidP="009C116F">
      <w:pPr>
        <w:spacing w:after="0"/>
      </w:pPr>
      <w:r>
        <w:t xml:space="preserve"> </w:t>
      </w:r>
    </w:p>
    <w:p w:rsidR="00010FB1" w:rsidRDefault="00010FB1">
      <w:pPr>
        <w:spacing w:after="0" w:line="240" w:lineRule="auto"/>
      </w:pPr>
    </w:p>
    <w:p w:rsidR="00CD7E77" w:rsidRDefault="00CD7E77">
      <w:pPr>
        <w:spacing w:after="0" w:line="240" w:lineRule="auto"/>
        <w:rPr>
          <w:b/>
          <w:color w:val="C00000"/>
        </w:rPr>
      </w:pPr>
      <w:r>
        <w:rPr>
          <w:b/>
          <w:color w:val="C00000"/>
        </w:rPr>
        <w:br w:type="page"/>
      </w:r>
    </w:p>
    <w:p w:rsidR="001A2591" w:rsidRPr="00010FB1" w:rsidRDefault="00010FB1" w:rsidP="009C116F">
      <w:pPr>
        <w:spacing w:after="0"/>
        <w:rPr>
          <w:b/>
          <w:color w:val="C00000"/>
        </w:rPr>
      </w:pPr>
      <w:r w:rsidRPr="00010FB1">
        <w:rPr>
          <w:b/>
          <w:color w:val="C00000"/>
        </w:rPr>
        <w:lastRenderedPageBreak/>
        <w:t>BRONNEN</w:t>
      </w:r>
    </w:p>
    <w:p w:rsidR="00010FB1" w:rsidRDefault="00010FB1" w:rsidP="009C116F">
      <w:pPr>
        <w:spacing w:after="0"/>
      </w:pPr>
    </w:p>
    <w:p w:rsidR="0064228D" w:rsidRDefault="0064228D" w:rsidP="009C116F">
      <w:pPr>
        <w:spacing w:after="0"/>
      </w:pPr>
      <w:r>
        <w:t>ALGEMENE DIRECTIE STATISTIEK</w:t>
      </w:r>
      <w:r w:rsidR="004629F7">
        <w:t xml:space="preserve"> (</w:t>
      </w:r>
      <w:hyperlink r:id="rId37" w:history="1">
        <w:r w:rsidR="00573364" w:rsidRPr="00C27826">
          <w:rPr>
            <w:rStyle w:val="Hyperlink"/>
          </w:rPr>
          <w:t>http://statbel.fgov.be/</w:t>
        </w:r>
      </w:hyperlink>
      <w:r w:rsidR="00573364">
        <w:t>)</w:t>
      </w:r>
    </w:p>
    <w:p w:rsidR="0064228D" w:rsidRDefault="00573364" w:rsidP="009C116F">
      <w:pPr>
        <w:spacing w:after="0"/>
      </w:pPr>
      <w:r>
        <w:t>Bevolking: inwoners naar geslacht en leeftijd</w:t>
      </w:r>
    </w:p>
    <w:p w:rsidR="00573364" w:rsidRDefault="00573364" w:rsidP="009C116F">
      <w:pPr>
        <w:spacing w:after="0"/>
      </w:pPr>
      <w:r>
        <w:t>Vruchtbaarheidscijfers naar leeftijd van de moeder</w:t>
      </w:r>
    </w:p>
    <w:p w:rsidR="004629F7" w:rsidRDefault="004629F7" w:rsidP="009C116F">
      <w:pPr>
        <w:spacing w:after="0"/>
      </w:pPr>
    </w:p>
    <w:p w:rsidR="00E60135" w:rsidRDefault="00E60135" w:rsidP="009C116F">
      <w:pPr>
        <w:spacing w:after="0"/>
      </w:pPr>
      <w:r>
        <w:t>INTERMUTUALISTISCH AGENTSCHAP</w:t>
      </w:r>
    </w:p>
    <w:p w:rsidR="00E60135" w:rsidRDefault="00E60135" w:rsidP="009C116F">
      <w:pPr>
        <w:spacing w:after="0"/>
      </w:pPr>
      <w:r>
        <w:t>Recht</w:t>
      </w:r>
      <w:r w:rsidR="00902B44">
        <w:t>h</w:t>
      </w:r>
      <w:r>
        <w:t>ebbenden Ziekteverzekering; met en zonder verhoogde tegemoetkoming</w:t>
      </w:r>
    </w:p>
    <w:p w:rsidR="001E3EA7" w:rsidRDefault="001E3EA7" w:rsidP="009C116F">
      <w:pPr>
        <w:spacing w:after="0"/>
      </w:pPr>
    </w:p>
    <w:p w:rsidR="001E3EA7" w:rsidRDefault="00010FB1" w:rsidP="009C116F">
      <w:pPr>
        <w:spacing w:after="0"/>
      </w:pPr>
      <w:r>
        <w:t>STUDIEDIENST VAN DE VLAAMSE REGERING</w:t>
      </w:r>
    </w:p>
    <w:p w:rsidR="00010FB1" w:rsidRDefault="00CD4B01" w:rsidP="009C116F">
      <w:pPr>
        <w:spacing w:after="0"/>
        <w:rPr>
          <w:rStyle w:val="Hyperlink"/>
          <w:sz w:val="18"/>
          <w:szCs w:val="18"/>
        </w:rPr>
      </w:pPr>
      <w:r>
        <w:t xml:space="preserve">* </w:t>
      </w:r>
      <w:r w:rsidR="00010FB1">
        <w:t>SVR-projecties van de bevolking en de huishoudens voor Vlaamse steden en gemeenten 2015-2030 (</w:t>
      </w:r>
      <w:hyperlink r:id="rId38" w:history="1">
        <w:r w:rsidR="00010FB1" w:rsidRPr="006A0FC3">
          <w:rPr>
            <w:rStyle w:val="Hyperlink"/>
            <w:sz w:val="18"/>
            <w:szCs w:val="18"/>
          </w:rPr>
          <w:t>SVR-projecties ... 2015-2030</w:t>
        </w:r>
      </w:hyperlink>
      <w:r w:rsidR="00010FB1">
        <w:rPr>
          <w:rStyle w:val="Hyperlink"/>
          <w:sz w:val="18"/>
          <w:szCs w:val="18"/>
        </w:rPr>
        <w:t>)</w:t>
      </w:r>
    </w:p>
    <w:p w:rsidR="00010FB1" w:rsidRDefault="00CD4B01" w:rsidP="009C116F">
      <w:pPr>
        <w:spacing w:after="0"/>
        <w:rPr>
          <w:rStyle w:val="Hyperlink"/>
          <w:color w:val="auto"/>
          <w:u w:val="none"/>
        </w:rPr>
      </w:pPr>
      <w:r>
        <w:rPr>
          <w:rStyle w:val="Hyperlink"/>
          <w:color w:val="auto"/>
          <w:u w:val="none"/>
        </w:rPr>
        <w:t xml:space="preserve">* </w:t>
      </w:r>
      <w:r w:rsidR="00010FB1" w:rsidRPr="004629F7">
        <w:rPr>
          <w:rStyle w:val="Hyperlink"/>
          <w:color w:val="auto"/>
          <w:u w:val="none"/>
        </w:rPr>
        <w:t xml:space="preserve">E. </w:t>
      </w:r>
      <w:proofErr w:type="spellStart"/>
      <w:r w:rsidR="00010FB1" w:rsidRPr="004629F7">
        <w:rPr>
          <w:rStyle w:val="Hyperlink"/>
          <w:color w:val="auto"/>
          <w:u w:val="none"/>
        </w:rPr>
        <w:t>P</w:t>
      </w:r>
      <w:r w:rsidR="001E3EA7">
        <w:rPr>
          <w:rStyle w:val="Hyperlink"/>
          <w:color w:val="auto"/>
          <w:u w:val="none"/>
        </w:rPr>
        <w:t>elfrenne</w:t>
      </w:r>
      <w:proofErr w:type="spellEnd"/>
      <w:r w:rsidR="0064228D" w:rsidRPr="004629F7">
        <w:rPr>
          <w:rStyle w:val="Hyperlink"/>
          <w:color w:val="auto"/>
          <w:u w:val="none"/>
        </w:rPr>
        <w:t xml:space="preserve">, </w:t>
      </w:r>
      <w:r w:rsidR="00010FB1" w:rsidRPr="004629F7">
        <w:rPr>
          <w:rStyle w:val="Hyperlink"/>
          <w:color w:val="auto"/>
          <w:u w:val="none"/>
        </w:rPr>
        <w:t>I</w:t>
      </w:r>
      <w:r w:rsidR="0064228D" w:rsidRPr="004629F7">
        <w:rPr>
          <w:rStyle w:val="Hyperlink"/>
          <w:color w:val="auto"/>
          <w:u w:val="none"/>
        </w:rPr>
        <w:t xml:space="preserve">. </w:t>
      </w:r>
      <w:proofErr w:type="spellStart"/>
      <w:r w:rsidR="0064228D" w:rsidRPr="004629F7">
        <w:rPr>
          <w:rStyle w:val="Hyperlink"/>
          <w:color w:val="auto"/>
          <w:u w:val="none"/>
        </w:rPr>
        <w:t>S</w:t>
      </w:r>
      <w:r w:rsidR="001E3EA7">
        <w:rPr>
          <w:rStyle w:val="Hyperlink"/>
          <w:color w:val="auto"/>
          <w:u w:val="none"/>
        </w:rPr>
        <w:t>chockaert</w:t>
      </w:r>
      <w:proofErr w:type="spellEnd"/>
      <w:r w:rsidR="001E3EA7">
        <w:rPr>
          <w:rStyle w:val="Hyperlink"/>
          <w:color w:val="auto"/>
          <w:u w:val="none"/>
        </w:rPr>
        <w:t xml:space="preserve"> &amp; </w:t>
      </w:r>
      <w:r w:rsidR="00ED1231">
        <w:rPr>
          <w:rStyle w:val="Hyperlink"/>
          <w:color w:val="auto"/>
          <w:u w:val="none"/>
        </w:rPr>
        <w:t xml:space="preserve">E. </w:t>
      </w:r>
      <w:proofErr w:type="spellStart"/>
      <w:r w:rsidR="0064228D" w:rsidRPr="004629F7">
        <w:rPr>
          <w:rStyle w:val="Hyperlink"/>
          <w:color w:val="auto"/>
          <w:u w:val="none"/>
        </w:rPr>
        <w:t>L</w:t>
      </w:r>
      <w:r w:rsidR="001E3EA7">
        <w:rPr>
          <w:rStyle w:val="Hyperlink"/>
          <w:color w:val="auto"/>
          <w:u w:val="none"/>
        </w:rPr>
        <w:t>odewijckx</w:t>
      </w:r>
      <w:proofErr w:type="spellEnd"/>
      <w:r w:rsidR="001E3EA7">
        <w:rPr>
          <w:rStyle w:val="Hyperlink"/>
          <w:color w:val="auto"/>
          <w:u w:val="none"/>
        </w:rPr>
        <w:t xml:space="preserve">; </w:t>
      </w:r>
      <w:r w:rsidR="0064228D" w:rsidRPr="004629F7">
        <w:rPr>
          <w:rStyle w:val="Hyperlink"/>
          <w:color w:val="auto"/>
          <w:u w:val="none"/>
        </w:rPr>
        <w:t>Bevolkingsprojecties: basishypotheses en werkwijzen (26/01/2015), 42 p.</w:t>
      </w:r>
    </w:p>
    <w:p w:rsidR="001E3EA7" w:rsidRDefault="001E3EA7" w:rsidP="009C116F">
      <w:pPr>
        <w:spacing w:after="0"/>
        <w:rPr>
          <w:rStyle w:val="Hyperlink"/>
          <w:color w:val="auto"/>
          <w:u w:val="none"/>
        </w:rPr>
      </w:pPr>
    </w:p>
    <w:p w:rsidR="001E3EA7" w:rsidRDefault="001E3EA7" w:rsidP="009C116F">
      <w:pPr>
        <w:spacing w:after="0"/>
        <w:rPr>
          <w:rStyle w:val="Hyperlink"/>
          <w:color w:val="auto"/>
          <w:u w:val="none"/>
        </w:rPr>
      </w:pPr>
      <w:r>
        <w:rPr>
          <w:rStyle w:val="Hyperlink"/>
          <w:color w:val="auto"/>
          <w:u w:val="none"/>
        </w:rPr>
        <w:t>PROVINCIE ANTWERPEN, Dienst Welzijn en Gezondheid</w:t>
      </w:r>
    </w:p>
    <w:p w:rsidR="001E3EA7" w:rsidRDefault="00CD4B01" w:rsidP="009C116F">
      <w:pPr>
        <w:spacing w:after="0"/>
        <w:rPr>
          <w:rStyle w:val="Hyperlink"/>
          <w:color w:val="auto"/>
          <w:u w:val="none"/>
        </w:rPr>
      </w:pPr>
      <w:r>
        <w:rPr>
          <w:rStyle w:val="Hyperlink"/>
          <w:color w:val="auto"/>
          <w:u w:val="none"/>
        </w:rPr>
        <w:t xml:space="preserve">* </w:t>
      </w:r>
      <w:r w:rsidR="001E3EA7">
        <w:rPr>
          <w:rStyle w:val="Hyperlink"/>
          <w:color w:val="auto"/>
          <w:u w:val="none"/>
        </w:rPr>
        <w:t>Lokale demografie</w:t>
      </w:r>
      <w:r w:rsidR="0025644E">
        <w:rPr>
          <w:rStyle w:val="Hyperlink"/>
          <w:color w:val="auto"/>
          <w:u w:val="none"/>
        </w:rPr>
        <w:t>:</w:t>
      </w:r>
      <w:r w:rsidR="001E3EA7">
        <w:rPr>
          <w:rStyle w:val="Hyperlink"/>
          <w:color w:val="auto"/>
          <w:u w:val="none"/>
        </w:rPr>
        <w:t xml:space="preserve"> </w:t>
      </w:r>
      <w:r w:rsidR="0025644E">
        <w:rPr>
          <w:rStyle w:val="Hyperlink"/>
          <w:color w:val="auto"/>
          <w:u w:val="none"/>
        </w:rPr>
        <w:t>k</w:t>
      </w:r>
      <w:r w:rsidR="001E3EA7">
        <w:rPr>
          <w:rStyle w:val="Hyperlink"/>
          <w:color w:val="auto"/>
          <w:u w:val="none"/>
        </w:rPr>
        <w:t>leuren of krimpen</w:t>
      </w:r>
      <w:r w:rsidR="0025644E">
        <w:rPr>
          <w:rStyle w:val="Hyperlink"/>
          <w:color w:val="auto"/>
          <w:u w:val="none"/>
        </w:rPr>
        <w:t>?</w:t>
      </w:r>
      <w:r w:rsidR="001E3EA7">
        <w:rPr>
          <w:rStyle w:val="Hyperlink"/>
          <w:color w:val="auto"/>
          <w:u w:val="none"/>
        </w:rPr>
        <w:t xml:space="preserve"> Evolutie 2002-2022</w:t>
      </w:r>
      <w:r w:rsidR="0025644E">
        <w:rPr>
          <w:rStyle w:val="Hyperlink"/>
          <w:color w:val="auto"/>
          <w:u w:val="none"/>
        </w:rPr>
        <w:t>, 2014, 35 p. + bijlagen</w:t>
      </w:r>
    </w:p>
    <w:p w:rsidR="00CD4B01" w:rsidRDefault="00CD4B01" w:rsidP="009C116F">
      <w:pPr>
        <w:spacing w:after="0"/>
        <w:rPr>
          <w:rStyle w:val="Hyperlink"/>
          <w:color w:val="auto"/>
          <w:u w:val="none"/>
        </w:rPr>
      </w:pPr>
      <w:r>
        <w:rPr>
          <w:rStyle w:val="Hyperlink"/>
          <w:color w:val="auto"/>
          <w:u w:val="none"/>
        </w:rPr>
        <w:t>* Lokale demografie: loop van de bevolking 2000-2009. Migratie, geboortes en overlijdens in de Antwerpse gemeenten</w:t>
      </w:r>
      <w:r w:rsidR="00902B44">
        <w:rPr>
          <w:rStyle w:val="Hyperlink"/>
          <w:color w:val="auto"/>
          <w:u w:val="none"/>
        </w:rPr>
        <w:t>, 2012, 38 p.</w:t>
      </w:r>
    </w:p>
    <w:p w:rsidR="00CD4B01" w:rsidRDefault="00CD4B01" w:rsidP="009C116F">
      <w:pPr>
        <w:spacing w:after="0"/>
        <w:rPr>
          <w:rStyle w:val="Hyperlink"/>
          <w:color w:val="auto"/>
          <w:u w:val="none"/>
        </w:rPr>
      </w:pPr>
      <w:r>
        <w:rPr>
          <w:rStyle w:val="Hyperlink"/>
          <w:color w:val="auto"/>
          <w:u w:val="none"/>
        </w:rPr>
        <w:t>*</w:t>
      </w:r>
      <w:r w:rsidR="00902B44">
        <w:rPr>
          <w:rStyle w:val="Hyperlink"/>
          <w:color w:val="auto"/>
          <w:u w:val="none"/>
        </w:rPr>
        <w:t xml:space="preserve"> Lage inkomens en leeftijd, lokale verschillen, 2014, 19 p.</w:t>
      </w:r>
    </w:p>
    <w:p w:rsidR="001E3EA7" w:rsidRPr="004629F7" w:rsidRDefault="001E3EA7" w:rsidP="009C116F">
      <w:pPr>
        <w:spacing w:after="0"/>
        <w:rPr>
          <w:rStyle w:val="Hyperlink"/>
          <w:color w:val="auto"/>
          <w:u w:val="none"/>
        </w:rPr>
      </w:pPr>
    </w:p>
    <w:p w:rsidR="0064228D" w:rsidRDefault="0064228D" w:rsidP="009C116F">
      <w:pPr>
        <w:spacing w:after="0"/>
        <w:rPr>
          <w:rStyle w:val="Hyperlink"/>
          <w:u w:val="none"/>
        </w:rPr>
      </w:pPr>
    </w:p>
    <w:p w:rsidR="0064228D" w:rsidRPr="0064228D" w:rsidRDefault="0064228D" w:rsidP="009C116F">
      <w:pPr>
        <w:spacing w:after="0"/>
      </w:pPr>
    </w:p>
    <w:sectPr w:rsidR="0064228D" w:rsidRPr="0064228D">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8E3" w:rsidRDefault="00D848E3" w:rsidP="00DA390D">
      <w:pPr>
        <w:spacing w:after="0" w:line="240" w:lineRule="auto"/>
      </w:pPr>
      <w:r>
        <w:separator/>
      </w:r>
    </w:p>
  </w:endnote>
  <w:endnote w:type="continuationSeparator" w:id="0">
    <w:p w:rsidR="00D848E3" w:rsidRDefault="00D848E3" w:rsidP="00DA3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8E3" w:rsidRDefault="00D848E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870379"/>
      <w:docPartObj>
        <w:docPartGallery w:val="Page Numbers (Bottom of Page)"/>
        <w:docPartUnique/>
      </w:docPartObj>
    </w:sdtPr>
    <w:sdtEndPr/>
    <w:sdtContent>
      <w:p w:rsidR="00D848E3" w:rsidRDefault="00D848E3">
        <w:pPr>
          <w:pStyle w:val="Voettekst"/>
          <w:jc w:val="right"/>
        </w:pPr>
        <w:r>
          <w:fldChar w:fldCharType="begin"/>
        </w:r>
        <w:r>
          <w:instrText>PAGE   \* MERGEFORMAT</w:instrText>
        </w:r>
        <w:r>
          <w:fldChar w:fldCharType="separate"/>
        </w:r>
        <w:r w:rsidR="00D234A5" w:rsidRPr="00D234A5">
          <w:rPr>
            <w:noProof/>
            <w:lang w:val="nl-NL"/>
          </w:rPr>
          <w:t>28</w:t>
        </w:r>
        <w:r>
          <w:fldChar w:fldCharType="end"/>
        </w:r>
      </w:p>
    </w:sdtContent>
  </w:sdt>
  <w:p w:rsidR="00D848E3" w:rsidRDefault="00D848E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8E3" w:rsidRDefault="00D848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8E3" w:rsidRDefault="00D848E3" w:rsidP="00DA390D">
      <w:pPr>
        <w:spacing w:after="0" w:line="240" w:lineRule="auto"/>
      </w:pPr>
      <w:r>
        <w:separator/>
      </w:r>
    </w:p>
  </w:footnote>
  <w:footnote w:type="continuationSeparator" w:id="0">
    <w:p w:rsidR="00D848E3" w:rsidRDefault="00D848E3" w:rsidP="00DA390D">
      <w:pPr>
        <w:spacing w:after="0" w:line="240" w:lineRule="auto"/>
      </w:pPr>
      <w:r>
        <w:continuationSeparator/>
      </w:r>
    </w:p>
  </w:footnote>
  <w:footnote w:id="1">
    <w:p w:rsidR="00D848E3" w:rsidRDefault="00D848E3">
      <w:pPr>
        <w:pStyle w:val="Voetnoottekst"/>
      </w:pPr>
      <w:r>
        <w:rPr>
          <w:rStyle w:val="Voetnootmarkering"/>
        </w:rPr>
        <w:footnoteRef/>
      </w:r>
      <w:r>
        <w:t xml:space="preserve"> </w:t>
      </w:r>
      <w:r w:rsidRPr="006A0FC3">
        <w:rPr>
          <w:sz w:val="18"/>
          <w:szCs w:val="18"/>
        </w:rPr>
        <w:t xml:space="preserve">Zie website Studiedienst Vlaamse Regering: </w:t>
      </w:r>
      <w:hyperlink r:id="rId1" w:history="1">
        <w:r w:rsidRPr="006A0FC3">
          <w:rPr>
            <w:rStyle w:val="Hyperlink"/>
            <w:sz w:val="18"/>
            <w:szCs w:val="18"/>
          </w:rPr>
          <w:t>SVR-projecties ... 2015-2030</w:t>
        </w:r>
      </w:hyperlink>
      <w:r>
        <w:t xml:space="preserve"> </w:t>
      </w:r>
    </w:p>
  </w:footnote>
  <w:footnote w:id="2">
    <w:p w:rsidR="00D848E3" w:rsidRPr="006A0FC3" w:rsidRDefault="00D848E3">
      <w:pPr>
        <w:pStyle w:val="Voetnoottekst"/>
        <w:rPr>
          <w:sz w:val="18"/>
          <w:szCs w:val="18"/>
        </w:rPr>
      </w:pPr>
      <w:r>
        <w:rPr>
          <w:rStyle w:val="Voetnootmarkering"/>
        </w:rPr>
        <w:footnoteRef/>
      </w:r>
      <w:r>
        <w:t xml:space="preserve"> </w:t>
      </w:r>
      <w:r w:rsidRPr="006A0FC3">
        <w:rPr>
          <w:sz w:val="18"/>
          <w:szCs w:val="18"/>
        </w:rPr>
        <w:t xml:space="preserve">SVR geeft ook een projectie van </w:t>
      </w:r>
      <w:r>
        <w:rPr>
          <w:sz w:val="18"/>
          <w:szCs w:val="18"/>
        </w:rPr>
        <w:t xml:space="preserve">de loop van de bevolking (geboortes, overlijdens, inwijking, uitwijking) en van </w:t>
      </w:r>
      <w:r w:rsidRPr="006A0FC3">
        <w:rPr>
          <w:sz w:val="18"/>
          <w:szCs w:val="18"/>
        </w:rPr>
        <w:t>het aantal huishoudens en hun grootte. Die projectie</w:t>
      </w:r>
      <w:r>
        <w:rPr>
          <w:sz w:val="18"/>
          <w:szCs w:val="18"/>
        </w:rPr>
        <w:t>s</w:t>
      </w:r>
      <w:r w:rsidRPr="006A0FC3">
        <w:rPr>
          <w:sz w:val="18"/>
          <w:szCs w:val="18"/>
        </w:rPr>
        <w:t xml:space="preserve"> kom</w:t>
      </w:r>
      <w:r>
        <w:rPr>
          <w:sz w:val="18"/>
          <w:szCs w:val="18"/>
        </w:rPr>
        <w:t xml:space="preserve">en (behoudens de geboortes) </w:t>
      </w:r>
      <w:r w:rsidRPr="006A0FC3">
        <w:rPr>
          <w:sz w:val="18"/>
          <w:szCs w:val="18"/>
        </w:rPr>
        <w:t xml:space="preserve"> in deze studie niet aan bod.</w:t>
      </w:r>
    </w:p>
  </w:footnote>
  <w:footnote w:id="3">
    <w:p w:rsidR="00D848E3" w:rsidRPr="00AF57E1" w:rsidRDefault="00D848E3" w:rsidP="00D9103D">
      <w:pPr>
        <w:pStyle w:val="Voetnoottekst"/>
        <w:rPr>
          <w:sz w:val="18"/>
          <w:szCs w:val="18"/>
        </w:rPr>
      </w:pPr>
      <w:r>
        <w:rPr>
          <w:rStyle w:val="Voetnootmarkering"/>
        </w:rPr>
        <w:footnoteRef/>
      </w:r>
      <w:r>
        <w:t xml:space="preserve"> </w:t>
      </w:r>
      <w:r w:rsidRPr="00AF57E1">
        <w:rPr>
          <w:sz w:val="18"/>
          <w:szCs w:val="18"/>
        </w:rPr>
        <w:t xml:space="preserve">op basis van </w:t>
      </w:r>
      <w:r>
        <w:rPr>
          <w:sz w:val="18"/>
          <w:szCs w:val="18"/>
        </w:rPr>
        <w:t xml:space="preserve">de </w:t>
      </w:r>
      <w:r w:rsidRPr="00AF57E1">
        <w:rPr>
          <w:sz w:val="18"/>
          <w:szCs w:val="18"/>
        </w:rPr>
        <w:t>sterftetafel Vlaams Gewest 2013</w:t>
      </w:r>
      <w:r>
        <w:rPr>
          <w:sz w:val="18"/>
          <w:szCs w:val="18"/>
        </w:rPr>
        <w:t xml:space="preserve"> (</w:t>
      </w:r>
      <w:r w:rsidRPr="00AF57E1">
        <w:rPr>
          <w:sz w:val="18"/>
          <w:szCs w:val="18"/>
        </w:rPr>
        <w:t xml:space="preserve"> </w:t>
      </w:r>
      <w:hyperlink r:id="rId2" w:history="1">
        <w:r>
          <w:rPr>
            <w:rStyle w:val="Hyperlink"/>
            <w:sz w:val="18"/>
            <w:szCs w:val="18"/>
          </w:rPr>
          <w:t>http://statbel.fgov.be</w:t>
        </w:r>
      </w:hyperlink>
      <w:r>
        <w:rPr>
          <w:sz w:val="18"/>
          <w:szCs w:val="18"/>
        </w:rPr>
        <w:t xml:space="preserve"> ) De sterftekansen nemen toe met de leeftijd. Het effect van sterfte verschilt echter weinig tussen gemeenten (van 1,21 tot 1,44 %) niettegenstaande grote verschillen in leeftijdsverdeling.  </w:t>
      </w:r>
      <w:r w:rsidRPr="00AF57E1">
        <w:rPr>
          <w:sz w:val="18"/>
          <w:szCs w:val="18"/>
        </w:rPr>
        <w:t>Voor de prognose zie: SVR 2015/1, p. 21</w:t>
      </w:r>
    </w:p>
  </w:footnote>
  <w:footnote w:id="4">
    <w:p w:rsidR="00D848E3" w:rsidRPr="0041326F" w:rsidRDefault="00D848E3">
      <w:pPr>
        <w:pStyle w:val="Voetnoottekst"/>
        <w:rPr>
          <w:sz w:val="18"/>
          <w:szCs w:val="18"/>
        </w:rPr>
      </w:pPr>
      <w:r>
        <w:rPr>
          <w:rStyle w:val="Voetnootmarkering"/>
        </w:rPr>
        <w:footnoteRef/>
      </w:r>
      <w:r>
        <w:t xml:space="preserve"> </w:t>
      </w:r>
      <w:r w:rsidRPr="0041326F">
        <w:rPr>
          <w:sz w:val="18"/>
          <w:szCs w:val="18"/>
        </w:rPr>
        <w:t xml:space="preserve">Die evolutie </w:t>
      </w:r>
      <w:r>
        <w:rPr>
          <w:sz w:val="18"/>
          <w:szCs w:val="18"/>
        </w:rPr>
        <w:t xml:space="preserve">is dan ook nog voor </w:t>
      </w:r>
      <w:r w:rsidRPr="0041326F">
        <w:rPr>
          <w:sz w:val="18"/>
          <w:szCs w:val="18"/>
        </w:rPr>
        <w:t>de volgende 10 jaar</w:t>
      </w:r>
      <w:r>
        <w:rPr>
          <w:sz w:val="18"/>
          <w:szCs w:val="18"/>
        </w:rPr>
        <w:t xml:space="preserve"> (2024-2034) te verwachten, zij het wat afgezwakt.</w:t>
      </w:r>
    </w:p>
  </w:footnote>
  <w:footnote w:id="5">
    <w:p w:rsidR="00D848E3" w:rsidRPr="005E50B6" w:rsidRDefault="00D848E3">
      <w:pPr>
        <w:pStyle w:val="Voetnoottekst"/>
        <w:rPr>
          <w:sz w:val="18"/>
          <w:szCs w:val="18"/>
        </w:rPr>
      </w:pPr>
      <w:r>
        <w:rPr>
          <w:rStyle w:val="Voetnootmarkering"/>
        </w:rPr>
        <w:footnoteRef/>
      </w:r>
      <w:r>
        <w:t xml:space="preserve"> </w:t>
      </w:r>
      <w:r w:rsidRPr="005E50B6">
        <w:rPr>
          <w:sz w:val="18"/>
          <w:szCs w:val="18"/>
        </w:rPr>
        <w:t>Men spreekt ook wel over ‘interne’ en ‘externe’ migratie. Die begrippen zijn echter ruimer en betreffen het al dan niet overschrijden van een grens. Voor het onderscheid ‘binnenlands’ en ‘internationaal’ is die grens de landsgrens. Die grens kan echter bijvoorbeeld ook het arrondissement zijn.</w:t>
      </w:r>
    </w:p>
  </w:footnote>
  <w:footnote w:id="6">
    <w:p w:rsidR="00D848E3" w:rsidRPr="00DD46E3" w:rsidRDefault="00D848E3">
      <w:pPr>
        <w:pStyle w:val="Voetnoottekst"/>
      </w:pPr>
      <w:r>
        <w:rPr>
          <w:rStyle w:val="Voetnootmarkering"/>
        </w:rPr>
        <w:footnoteRef/>
      </w:r>
      <w:r w:rsidRPr="00DD46E3">
        <w:t xml:space="preserve"> </w:t>
      </w:r>
      <w:r w:rsidRPr="00DD46E3">
        <w:rPr>
          <w:sz w:val="18"/>
          <w:szCs w:val="18"/>
        </w:rPr>
        <w:t xml:space="preserve">SVR 2015/1 p. 26-33 </w:t>
      </w:r>
      <w:hyperlink r:id="rId3" w:history="1">
        <w:r w:rsidRPr="00DD46E3">
          <w:rPr>
            <w:rStyle w:val="Hyperlink"/>
            <w:sz w:val="18"/>
            <w:szCs w:val="18"/>
          </w:rPr>
          <w:t>... basishypotheses ...</w:t>
        </w:r>
      </w:hyperlink>
      <w:r w:rsidRPr="00DD46E3">
        <w:rPr>
          <w:sz w:val="18"/>
          <w:szCs w:val="18"/>
        </w:rPr>
        <w:t xml:space="preserve"> </w:t>
      </w:r>
    </w:p>
  </w:footnote>
  <w:footnote w:id="7">
    <w:p w:rsidR="00D848E3" w:rsidRPr="00DD46E3" w:rsidRDefault="00D848E3">
      <w:pPr>
        <w:pStyle w:val="Voetnoottekst"/>
      </w:pPr>
      <w:r>
        <w:rPr>
          <w:rStyle w:val="Voetnootmarkering"/>
        </w:rPr>
        <w:footnoteRef/>
      </w:r>
      <w:r w:rsidRPr="00DD46E3">
        <w:t xml:space="preserve"> </w:t>
      </w:r>
      <w:r w:rsidRPr="00DD46E3">
        <w:rPr>
          <w:sz w:val="18"/>
          <w:szCs w:val="18"/>
        </w:rPr>
        <w:t xml:space="preserve">SVR 2015/1 p. 34-40 </w:t>
      </w:r>
      <w:hyperlink r:id="rId4" w:history="1">
        <w:r w:rsidRPr="00DD46E3">
          <w:rPr>
            <w:rStyle w:val="Hyperlink"/>
            <w:sz w:val="18"/>
            <w:szCs w:val="18"/>
          </w:rPr>
          <w:t>... basishypotheses ...</w:t>
        </w:r>
      </w:hyperlink>
    </w:p>
  </w:footnote>
  <w:footnote w:id="8">
    <w:p w:rsidR="00D848E3" w:rsidRDefault="00D848E3" w:rsidP="00354DB6">
      <w:pPr>
        <w:pStyle w:val="Voetnoottekst"/>
        <w:rPr>
          <w:sz w:val="18"/>
          <w:szCs w:val="18"/>
        </w:rPr>
      </w:pPr>
      <w:r>
        <w:rPr>
          <w:rStyle w:val="Voetnootmarkering"/>
        </w:rPr>
        <w:footnoteRef/>
      </w:r>
      <w:r>
        <w:t xml:space="preserve"> </w:t>
      </w:r>
      <w:r w:rsidRPr="004F543B">
        <w:rPr>
          <w:sz w:val="18"/>
          <w:szCs w:val="18"/>
        </w:rPr>
        <w:t>Het exacte verloop is iets complexer dan hier voorgesteld. Zie SVR 2015/1, p. 3</w:t>
      </w:r>
      <w:r>
        <w:rPr>
          <w:sz w:val="18"/>
          <w:szCs w:val="18"/>
        </w:rPr>
        <w:t>6-38</w:t>
      </w:r>
      <w:r w:rsidRPr="004F543B">
        <w:rPr>
          <w:sz w:val="18"/>
          <w:szCs w:val="18"/>
        </w:rPr>
        <w:t>.</w:t>
      </w:r>
      <w:r>
        <w:rPr>
          <w:sz w:val="18"/>
          <w:szCs w:val="18"/>
        </w:rPr>
        <w:t xml:space="preserve"> </w:t>
      </w:r>
      <w:hyperlink r:id="rId5" w:history="1">
        <w:r w:rsidRPr="00DD46E3">
          <w:rPr>
            <w:rStyle w:val="Hyperlink"/>
            <w:sz w:val="18"/>
            <w:szCs w:val="18"/>
          </w:rPr>
          <w:t>... basishypotheses ...</w:t>
        </w:r>
      </w:hyperlink>
    </w:p>
    <w:p w:rsidR="00D848E3" w:rsidRDefault="00D848E3" w:rsidP="00354DB6">
      <w:pPr>
        <w:pStyle w:val="Voetnoottekst"/>
        <w:rPr>
          <w:sz w:val="18"/>
          <w:szCs w:val="18"/>
        </w:rPr>
      </w:pPr>
      <w:r>
        <w:rPr>
          <w:sz w:val="18"/>
          <w:szCs w:val="18"/>
        </w:rPr>
        <w:t>Voor de steden met meer dan 65.000 inwoners wordt het aantal met 5 % verhoogd als inwijking vanuit Oost- en Zuid-Europa domineerde en anders met 5 % verminderd.</w:t>
      </w:r>
    </w:p>
    <w:p w:rsidR="00D848E3" w:rsidRDefault="00D848E3" w:rsidP="00354DB6">
      <w:pPr>
        <w:pStyle w:val="Voetnoottekst"/>
      </w:pPr>
      <w:r>
        <w:rPr>
          <w:sz w:val="18"/>
          <w:szCs w:val="18"/>
        </w:rPr>
        <w:t>Voor de Limburgse grensgemeenten was er een sterke terugloop van inwijking vanuit Nederland en wordt de periode 1997-1999 als basis genomen.</w:t>
      </w:r>
    </w:p>
  </w:footnote>
  <w:footnote w:id="9">
    <w:p w:rsidR="00D848E3" w:rsidRPr="008C06DD" w:rsidRDefault="00D848E3" w:rsidP="00940558">
      <w:pPr>
        <w:pStyle w:val="Voetnoottekst"/>
        <w:rPr>
          <w:sz w:val="18"/>
          <w:szCs w:val="18"/>
        </w:rPr>
      </w:pPr>
      <w:r>
        <w:rPr>
          <w:rStyle w:val="Voetnootmarkering"/>
        </w:rPr>
        <w:footnoteRef/>
      </w:r>
      <w:r>
        <w:t xml:space="preserve"> </w:t>
      </w:r>
      <w:r w:rsidRPr="008C06DD">
        <w:rPr>
          <w:sz w:val="18"/>
          <w:szCs w:val="18"/>
        </w:rPr>
        <w:t>De berekening is weer iets complexer dan hier voorgesteld. Er is ook een kleine correctie voor de grote steden naargelang welke bestemmingslanden domineren. Zie SVR 2015/1, p. 38-41.</w:t>
      </w:r>
      <w:r>
        <w:rPr>
          <w:sz w:val="18"/>
          <w:szCs w:val="18"/>
        </w:rPr>
        <w:t xml:space="preserve"> </w:t>
      </w:r>
      <w:hyperlink r:id="rId6" w:history="1">
        <w:r w:rsidRPr="00DD46E3">
          <w:rPr>
            <w:rStyle w:val="Hyperlink"/>
            <w:sz w:val="18"/>
            <w:szCs w:val="18"/>
          </w:rPr>
          <w:t>... basishypotheses ...</w:t>
        </w:r>
      </w:hyperlink>
    </w:p>
  </w:footnote>
  <w:footnote w:id="10">
    <w:p w:rsidR="00D848E3" w:rsidRPr="008C06DD" w:rsidRDefault="00D848E3" w:rsidP="00984953">
      <w:pPr>
        <w:pStyle w:val="Voetnoottekst"/>
        <w:rPr>
          <w:sz w:val="18"/>
          <w:szCs w:val="18"/>
        </w:rPr>
      </w:pPr>
      <w:r>
        <w:rPr>
          <w:rStyle w:val="Voetnootmarkering"/>
        </w:rPr>
        <w:footnoteRef/>
      </w:r>
      <w:r>
        <w:t xml:space="preserve"> </w:t>
      </w:r>
      <w:r w:rsidRPr="004E764D">
        <w:rPr>
          <w:sz w:val="18"/>
          <w:szCs w:val="18"/>
        </w:rPr>
        <w:t>De inwijking omvat ook: a) de overgang van wachtregister (asielzoekers) naar bevolkingsregister, b) aantal dat terug ingeschreven</w:t>
      </w:r>
      <w:r>
        <w:rPr>
          <w:sz w:val="18"/>
          <w:szCs w:val="18"/>
        </w:rPr>
        <w:t xml:space="preserve"> werd</w:t>
      </w:r>
      <w:r w:rsidRPr="004E764D">
        <w:rPr>
          <w:sz w:val="18"/>
          <w:szCs w:val="18"/>
        </w:rPr>
        <w:t xml:space="preserve"> na ambtshalve schrapping (niet gevonden op adres). De uitwijking omvat ook de schrapping (en ook de terugkeer naar wachtreg</w:t>
      </w:r>
      <w:r>
        <w:rPr>
          <w:sz w:val="18"/>
          <w:szCs w:val="18"/>
        </w:rPr>
        <w:t>is</w:t>
      </w:r>
      <w:r w:rsidRPr="004E764D">
        <w:rPr>
          <w:sz w:val="18"/>
          <w:szCs w:val="18"/>
        </w:rPr>
        <w:t xml:space="preserve">ter). SVR 2015/1, p. 34 </w:t>
      </w:r>
      <w:r>
        <w:rPr>
          <w:sz w:val="18"/>
          <w:szCs w:val="18"/>
        </w:rPr>
        <w:t>(</w:t>
      </w:r>
      <w:hyperlink r:id="rId7" w:history="1">
        <w:r w:rsidRPr="00DD46E3">
          <w:rPr>
            <w:rStyle w:val="Hyperlink"/>
            <w:sz w:val="18"/>
            <w:szCs w:val="18"/>
          </w:rPr>
          <w:t>... basishypotheses ...</w:t>
        </w:r>
      </w:hyperlink>
      <w:r>
        <w:rPr>
          <w:sz w:val="18"/>
          <w:szCs w:val="18"/>
        </w:rPr>
        <w:t>)</w:t>
      </w:r>
    </w:p>
    <w:p w:rsidR="00D848E3" w:rsidRPr="004E764D" w:rsidRDefault="00D848E3" w:rsidP="00AF77F7">
      <w:pPr>
        <w:pStyle w:val="Voetnoottekst"/>
        <w:rPr>
          <w:sz w:val="18"/>
          <w:szCs w:val="18"/>
        </w:rPr>
      </w:pPr>
    </w:p>
  </w:footnote>
  <w:footnote w:id="11">
    <w:p w:rsidR="00D848E3" w:rsidRPr="00116194" w:rsidRDefault="00D848E3" w:rsidP="006878AE">
      <w:pPr>
        <w:pStyle w:val="Voetnoottekst"/>
        <w:rPr>
          <w:color w:val="FF0000"/>
          <w:sz w:val="18"/>
          <w:szCs w:val="18"/>
        </w:rPr>
      </w:pPr>
      <w:r>
        <w:rPr>
          <w:rStyle w:val="Voetnootmarkering"/>
        </w:rPr>
        <w:footnoteRef/>
      </w:r>
      <w:r>
        <w:t xml:space="preserve"> </w:t>
      </w:r>
      <w:r w:rsidRPr="00951A17">
        <w:rPr>
          <w:sz w:val="18"/>
          <w:szCs w:val="18"/>
        </w:rPr>
        <w:t>PROVINCIE ANTWERPEN, Lokale  demografie. Kleuren of krimpen. Evolutie 2002-2022.</w:t>
      </w:r>
      <w:r>
        <w:rPr>
          <w:sz w:val="18"/>
          <w:szCs w:val="18"/>
        </w:rPr>
        <w:t xml:space="preserve">  </w:t>
      </w:r>
      <w:hyperlink r:id="rId8" w:history="1">
        <w:r>
          <w:rPr>
            <w:rStyle w:val="Hyperlink"/>
            <w:sz w:val="18"/>
            <w:szCs w:val="18"/>
          </w:rPr>
          <w:t>(kleuren of krimpen)</w:t>
        </w:r>
      </w:hyperlink>
      <w:r>
        <w:rPr>
          <w:sz w:val="18"/>
          <w:szCs w:val="18"/>
        </w:rPr>
        <w:t xml:space="preserve"> </w:t>
      </w:r>
    </w:p>
  </w:footnote>
  <w:footnote w:id="12">
    <w:p w:rsidR="00D848E3" w:rsidRPr="00C53F73" w:rsidRDefault="00D848E3">
      <w:pPr>
        <w:pStyle w:val="Voetnoottekst"/>
        <w:rPr>
          <w:sz w:val="18"/>
          <w:szCs w:val="18"/>
        </w:rPr>
      </w:pPr>
      <w:r>
        <w:rPr>
          <w:rStyle w:val="Voetnootmarkering"/>
        </w:rPr>
        <w:footnoteRef/>
      </w:r>
      <w:r>
        <w:t xml:space="preserve"> </w:t>
      </w:r>
      <w:r w:rsidRPr="00C53F73">
        <w:rPr>
          <w:sz w:val="18"/>
          <w:szCs w:val="18"/>
        </w:rPr>
        <w:t xml:space="preserve">De projectie van SVR vertrekt </w:t>
      </w:r>
      <w:r>
        <w:rPr>
          <w:sz w:val="18"/>
          <w:szCs w:val="18"/>
        </w:rPr>
        <w:t xml:space="preserve">voor de eerste jaren </w:t>
      </w:r>
      <w:r w:rsidRPr="00C53F73">
        <w:rPr>
          <w:sz w:val="18"/>
          <w:szCs w:val="18"/>
        </w:rPr>
        <w:t>van een recent teruggelopen inwijking en van hoge emigratie in de jaren 2011-13.</w:t>
      </w:r>
    </w:p>
  </w:footnote>
  <w:footnote w:id="13">
    <w:p w:rsidR="00D848E3" w:rsidRDefault="00D848E3">
      <w:pPr>
        <w:pStyle w:val="Voetnoottekst"/>
      </w:pPr>
      <w:r>
        <w:rPr>
          <w:rStyle w:val="Voetnootmarkering"/>
        </w:rPr>
        <w:footnoteRef/>
      </w:r>
      <w:r>
        <w:t xml:space="preserve"> </w:t>
      </w:r>
      <w:r w:rsidRPr="007224B3">
        <w:rPr>
          <w:sz w:val="18"/>
          <w:szCs w:val="18"/>
        </w:rPr>
        <w:t>Op basis van sterke migratie van personen met andere origine zou in die lijst ook Boom te verwachten zijn. De projectie van SVR steunt echter voor de emigratiekansen op de hoge waarden voor de periode 2011-13, met als gevolg een sterke afname van het migratiesaldo.</w:t>
      </w:r>
    </w:p>
  </w:footnote>
  <w:footnote w:id="14">
    <w:p w:rsidR="00D848E3" w:rsidRDefault="00D848E3">
      <w:pPr>
        <w:pStyle w:val="Voetnoottekst"/>
      </w:pPr>
      <w:r>
        <w:rPr>
          <w:rStyle w:val="Voetnootmarkering"/>
        </w:rPr>
        <w:footnoteRef/>
      </w:r>
      <w:r>
        <w:t xml:space="preserve"> </w:t>
      </w:r>
      <w:r w:rsidRPr="006C40C9">
        <w:rPr>
          <w:sz w:val="18"/>
          <w:szCs w:val="18"/>
        </w:rPr>
        <w:t>Zie SVR 2015/1 p.8-1</w:t>
      </w:r>
      <w:r>
        <w:rPr>
          <w:sz w:val="18"/>
          <w:szCs w:val="18"/>
        </w:rPr>
        <w:t>5</w:t>
      </w:r>
    </w:p>
  </w:footnote>
  <w:footnote w:id="15">
    <w:p w:rsidR="00D848E3" w:rsidRPr="003D4802" w:rsidRDefault="00D848E3">
      <w:pPr>
        <w:pStyle w:val="Voetnoottekst"/>
        <w:rPr>
          <w:sz w:val="18"/>
          <w:szCs w:val="18"/>
        </w:rPr>
      </w:pPr>
      <w:r>
        <w:rPr>
          <w:rStyle w:val="Voetnootmarkering"/>
        </w:rPr>
        <w:footnoteRef/>
      </w:r>
      <w:r>
        <w:t xml:space="preserve"> </w:t>
      </w:r>
      <w:r w:rsidRPr="003D4802">
        <w:rPr>
          <w:sz w:val="18"/>
          <w:szCs w:val="18"/>
        </w:rPr>
        <w:t xml:space="preserve">Zie website ADS (Algemene Directie Statistiek) </w:t>
      </w:r>
      <w:hyperlink r:id="rId9" w:history="1">
        <w:r w:rsidRPr="003D4802">
          <w:rPr>
            <w:rStyle w:val="Hyperlink"/>
            <w:sz w:val="18"/>
            <w:szCs w:val="18"/>
          </w:rPr>
          <w:t>www.statbel.fgov.be</w:t>
        </w:r>
      </w:hyperlink>
      <w:r w:rsidRPr="003D4802">
        <w:rPr>
          <w:sz w:val="18"/>
          <w:szCs w:val="18"/>
        </w:rPr>
        <w:t xml:space="preserve"> (bevolking, geboorten en vruchtbaarheid)</w:t>
      </w:r>
    </w:p>
  </w:footnote>
  <w:footnote w:id="16">
    <w:p w:rsidR="00D848E3" w:rsidRDefault="00D848E3" w:rsidP="00C91477">
      <w:pPr>
        <w:pStyle w:val="Voetnoottekst"/>
        <w:rPr>
          <w:sz w:val="18"/>
          <w:szCs w:val="18"/>
        </w:rPr>
      </w:pPr>
      <w:r>
        <w:rPr>
          <w:rStyle w:val="Voetnootmarkering"/>
        </w:rPr>
        <w:footnoteRef/>
      </w:r>
      <w:r>
        <w:t xml:space="preserve"> </w:t>
      </w:r>
      <w:r w:rsidRPr="006C40C9">
        <w:rPr>
          <w:sz w:val="18"/>
          <w:szCs w:val="18"/>
        </w:rPr>
        <w:t>Zie SVR 2015/1 p.15-19</w:t>
      </w:r>
    </w:p>
    <w:p w:rsidR="00D848E3" w:rsidRDefault="00D848E3" w:rsidP="00C91477">
      <w:pPr>
        <w:pStyle w:val="Voetnoottekst"/>
      </w:pPr>
      <w:r>
        <w:rPr>
          <w:sz w:val="18"/>
          <w:szCs w:val="18"/>
        </w:rPr>
        <w:t>Het verschil neemt vanaf 2016 tegen 2030 (lineair) met 30 % af. Lag een cijfer bijvoorbeeld aanvankelijk 20 % hoger dan zal het tegen 2030 nog slechts 14 % hoger. Voor de periode 2014-2023 zal het echter nog 18 % hoger liggen.</w:t>
      </w:r>
    </w:p>
  </w:footnote>
  <w:footnote w:id="17">
    <w:p w:rsidR="00D848E3" w:rsidRDefault="00D848E3">
      <w:pPr>
        <w:pStyle w:val="Voetnoottekst"/>
        <w:rPr>
          <w:sz w:val="18"/>
          <w:szCs w:val="18"/>
        </w:rPr>
      </w:pPr>
      <w:r>
        <w:rPr>
          <w:rStyle w:val="Voetnootmarkering"/>
        </w:rPr>
        <w:footnoteRef/>
      </w:r>
      <w:r>
        <w:t xml:space="preserve"> </w:t>
      </w:r>
      <w:r w:rsidRPr="003B6A4F">
        <w:rPr>
          <w:sz w:val="18"/>
          <w:szCs w:val="18"/>
        </w:rPr>
        <w:t>SVR gaf - aanvullend aan wat gepubliceerd is op de website - de vruchtbaarheidscijfers voor Vlaanderen voor de jaren 2010-2012.</w:t>
      </w:r>
    </w:p>
    <w:p w:rsidR="00D848E3" w:rsidRPr="003B6A4F" w:rsidRDefault="00D848E3">
      <w:pPr>
        <w:pStyle w:val="Voetnoottekst"/>
        <w:rPr>
          <w:sz w:val="18"/>
          <w:szCs w:val="18"/>
        </w:rPr>
      </w:pPr>
      <w:r>
        <w:rPr>
          <w:sz w:val="18"/>
          <w:szCs w:val="18"/>
        </w:rPr>
        <w:t>In deze analyse is de invloed van de leeftijdsverdeling weggewerkt  (dit in tegenstelling tot een vergelijking van geboortecoëfficiënten die enkel de invloed van het totaal aantal inwoners wegwerkt). Die leeftijdsverdeling heeft immers een (quasi) gelijke invloed op het effectief aantal geboortes en op het aantal geboortes bij Vlaamse vruchtbaarheidscijfers.</w:t>
      </w:r>
    </w:p>
  </w:footnote>
  <w:footnote w:id="18">
    <w:p w:rsidR="00D848E3" w:rsidRDefault="00D848E3">
      <w:pPr>
        <w:pStyle w:val="Voetnoottekst"/>
        <w:rPr>
          <w:sz w:val="18"/>
          <w:szCs w:val="18"/>
        </w:rPr>
      </w:pPr>
      <w:r>
        <w:rPr>
          <w:rStyle w:val="Voetnootmarkering"/>
        </w:rPr>
        <w:footnoteRef/>
      </w:r>
      <w:r>
        <w:t xml:space="preserve"> </w:t>
      </w:r>
      <w:r w:rsidRPr="00951A17">
        <w:rPr>
          <w:sz w:val="18"/>
          <w:szCs w:val="18"/>
        </w:rPr>
        <w:t>PROVINCIE ANTWERPEN, Lokale  demografie. Kleuren of krimpen. Evolutie 2002-2022</w:t>
      </w:r>
      <w:r>
        <w:rPr>
          <w:sz w:val="18"/>
          <w:szCs w:val="18"/>
        </w:rPr>
        <w:t>.</w:t>
      </w:r>
    </w:p>
    <w:p w:rsidR="00D848E3" w:rsidRDefault="00D848E3">
      <w:pPr>
        <w:pStyle w:val="Voetnoottekst"/>
        <w:rPr>
          <w:sz w:val="18"/>
          <w:szCs w:val="18"/>
        </w:rPr>
      </w:pPr>
      <w:r w:rsidRPr="00C5201D">
        <w:rPr>
          <w:sz w:val="18"/>
          <w:szCs w:val="18"/>
        </w:rPr>
        <w:t>Kaart 6, p.14: Vreemde origine (exclusief Nederlands) in % van de 20-59 jarigen op 1-1-2012</w:t>
      </w:r>
      <w:r>
        <w:rPr>
          <w:sz w:val="18"/>
          <w:szCs w:val="18"/>
        </w:rPr>
        <w:t>.</w:t>
      </w:r>
    </w:p>
    <w:p w:rsidR="00D848E3" w:rsidRPr="00C5201D" w:rsidRDefault="00D848E3">
      <w:pPr>
        <w:pStyle w:val="Voetnoottekst"/>
        <w:rPr>
          <w:sz w:val="18"/>
          <w:szCs w:val="18"/>
        </w:rPr>
      </w:pPr>
      <w:r>
        <w:rPr>
          <w:sz w:val="18"/>
          <w:szCs w:val="18"/>
        </w:rPr>
        <w:t xml:space="preserve">Rekening houdend met verschillen in ‘vreemde origine’ valt dan weer op dat het aantal geboortes in Antwerpen niet hoger ligt dan voor Boom, Willebroek en Mechelen. De vraag rijst hierbij hoe snel verschillen naar origine afnemen? </w:t>
      </w:r>
      <w:r w:rsidRPr="00C5201D">
        <w:rPr>
          <w:sz w:val="18"/>
          <w:szCs w:val="18"/>
        </w:rPr>
        <w:t xml:space="preserve"> </w:t>
      </w:r>
    </w:p>
  </w:footnote>
  <w:footnote w:id="19">
    <w:p w:rsidR="00D848E3" w:rsidRDefault="00D848E3" w:rsidP="007C2FC0">
      <w:pPr>
        <w:pStyle w:val="Voetnoottekst"/>
      </w:pPr>
      <w:r>
        <w:rPr>
          <w:rStyle w:val="Voetnootmarkering"/>
        </w:rPr>
        <w:footnoteRef/>
      </w:r>
      <w:r>
        <w:t xml:space="preserve"> </w:t>
      </w:r>
      <w:r w:rsidRPr="007C2FC0">
        <w:rPr>
          <w:sz w:val="18"/>
          <w:szCs w:val="18"/>
        </w:rPr>
        <w:t>Die benadering werd in het volgende nog verfijnd door er rekening mee te houden dat de ouders niet gelijk verdeeld zijn over de leeftijdsgroepen binnen de 20-59 jarigen.</w:t>
      </w:r>
      <w:r>
        <w:t xml:space="preserve"> </w:t>
      </w:r>
      <w:r w:rsidRPr="002055D0">
        <w:rPr>
          <w:sz w:val="18"/>
          <w:szCs w:val="18"/>
        </w:rPr>
        <w:t xml:space="preserve">Dit leidt tot een weging van de leeftijdsgroepen op basis van de vruchtbaarheidscijfers naar leeftijd. In deze studie </w:t>
      </w:r>
      <w:r>
        <w:rPr>
          <w:sz w:val="18"/>
          <w:szCs w:val="18"/>
        </w:rPr>
        <w:t>werd de indicator 0...19 in % van 20...59/2 verfijnd tot 0...19 in % van (20...29)/4 + (30...49)/2 + (50...59)/4</w:t>
      </w:r>
    </w:p>
  </w:footnote>
  <w:footnote w:id="20">
    <w:p w:rsidR="00D848E3" w:rsidRPr="00CB4CB5" w:rsidRDefault="00D848E3">
      <w:pPr>
        <w:pStyle w:val="Voetnoottekst"/>
        <w:rPr>
          <w:sz w:val="18"/>
          <w:szCs w:val="18"/>
        </w:rPr>
      </w:pPr>
      <w:r w:rsidRPr="00CB4CB5">
        <w:rPr>
          <w:rStyle w:val="Voetnootmarkering"/>
          <w:sz w:val="18"/>
          <w:szCs w:val="18"/>
        </w:rPr>
        <w:footnoteRef/>
      </w:r>
      <w:r w:rsidRPr="00CB4CB5">
        <w:rPr>
          <w:sz w:val="18"/>
          <w:szCs w:val="18"/>
        </w:rPr>
        <w:t xml:space="preserve"> </w:t>
      </w:r>
      <w:r>
        <w:rPr>
          <w:sz w:val="18"/>
          <w:szCs w:val="18"/>
        </w:rPr>
        <w:t xml:space="preserve">Tussen beiden is er volgende samenhang: </w:t>
      </w:r>
      <w:r w:rsidRPr="00CB4CB5">
        <w:rPr>
          <w:sz w:val="18"/>
          <w:szCs w:val="18"/>
        </w:rPr>
        <w:t>alternatief = SVR*0,56 -</w:t>
      </w:r>
      <w:r>
        <w:rPr>
          <w:sz w:val="18"/>
          <w:szCs w:val="18"/>
        </w:rPr>
        <w:t xml:space="preserve"> </w:t>
      </w:r>
      <w:r w:rsidRPr="00CB4CB5">
        <w:rPr>
          <w:sz w:val="18"/>
          <w:szCs w:val="18"/>
        </w:rPr>
        <w:t xml:space="preserve">4 (R²= 0,57) </w:t>
      </w:r>
    </w:p>
  </w:footnote>
  <w:footnote w:id="21">
    <w:p w:rsidR="00D848E3" w:rsidRDefault="00D848E3">
      <w:pPr>
        <w:pStyle w:val="Voetnoottekst"/>
        <w:rPr>
          <w:sz w:val="18"/>
          <w:szCs w:val="18"/>
        </w:rPr>
      </w:pPr>
      <w:r>
        <w:rPr>
          <w:rStyle w:val="Voetnootmarkering"/>
        </w:rPr>
        <w:footnoteRef/>
      </w:r>
      <w:r>
        <w:t xml:space="preserve"> </w:t>
      </w:r>
      <w:r w:rsidRPr="00922686">
        <w:rPr>
          <w:sz w:val="18"/>
          <w:szCs w:val="18"/>
        </w:rPr>
        <w:t xml:space="preserve">Voor stad Antwerpen geeft de projectie van SVR een toename van de 0-19 jarigen met 19,9 %. In het alternatief betreffende de evolutie van de opvolging van generaties wordt dit 12,4 %. </w:t>
      </w:r>
    </w:p>
    <w:p w:rsidR="00D848E3" w:rsidRPr="00922686" w:rsidRDefault="00D848E3">
      <w:pPr>
        <w:pStyle w:val="Voetnoottekst"/>
        <w:rPr>
          <w:sz w:val="18"/>
          <w:szCs w:val="18"/>
        </w:rPr>
      </w:pPr>
      <w:r w:rsidRPr="00922686">
        <w:rPr>
          <w:sz w:val="18"/>
          <w:szCs w:val="18"/>
        </w:rPr>
        <w:t>Als het migratiesaldo van personen met andere origine voor de 20-59 jarigen in de periode 2014-2024 zou halveren ten opzichte van de periode 2004-2014, dan z</w:t>
      </w:r>
      <w:r>
        <w:rPr>
          <w:sz w:val="18"/>
          <w:szCs w:val="18"/>
        </w:rPr>
        <w:t xml:space="preserve">ullen er 6 % minder 20-59 jarigen zijn. Wegens minder ouders, zal de </w:t>
      </w:r>
      <w:r w:rsidRPr="00922686">
        <w:rPr>
          <w:sz w:val="18"/>
          <w:szCs w:val="18"/>
        </w:rPr>
        <w:t xml:space="preserve"> toename van het aantal 0-19 jarigen verder verminderen tot 6 %.</w:t>
      </w:r>
    </w:p>
  </w:footnote>
  <w:footnote w:id="22">
    <w:p w:rsidR="00D848E3" w:rsidRDefault="00D848E3" w:rsidP="002E4F81">
      <w:pPr>
        <w:pStyle w:val="Voetnoottekst"/>
      </w:pPr>
      <w:r>
        <w:rPr>
          <w:rStyle w:val="Voetnootmarkering"/>
        </w:rPr>
        <w:footnoteRef/>
      </w:r>
      <w:r>
        <w:t xml:space="preserve"> </w:t>
      </w:r>
      <w:r w:rsidRPr="00B77AB5">
        <w:rPr>
          <w:sz w:val="18"/>
          <w:szCs w:val="18"/>
        </w:rPr>
        <w:t>SVR15/1, p. 19-26</w:t>
      </w:r>
      <w:r>
        <w:t xml:space="preserve"> </w:t>
      </w:r>
    </w:p>
  </w:footnote>
  <w:footnote w:id="23">
    <w:p w:rsidR="00D848E3" w:rsidRDefault="00D848E3" w:rsidP="00217EE8">
      <w:pPr>
        <w:pStyle w:val="Voetnoottekst"/>
        <w:rPr>
          <w:sz w:val="18"/>
          <w:szCs w:val="18"/>
        </w:rPr>
      </w:pPr>
      <w:r>
        <w:rPr>
          <w:rStyle w:val="Voetnootmarkering"/>
        </w:rPr>
        <w:footnoteRef/>
      </w:r>
      <w:r>
        <w:t xml:space="preserve"> </w:t>
      </w:r>
      <w:r w:rsidRPr="00217EE8">
        <w:rPr>
          <w:sz w:val="18"/>
          <w:szCs w:val="18"/>
        </w:rPr>
        <w:t xml:space="preserve">De invloed van migratie werd </w:t>
      </w:r>
      <w:r>
        <w:rPr>
          <w:sz w:val="18"/>
          <w:szCs w:val="18"/>
        </w:rPr>
        <w:t>o</w:t>
      </w:r>
      <w:r w:rsidRPr="00217EE8">
        <w:rPr>
          <w:sz w:val="18"/>
          <w:szCs w:val="18"/>
        </w:rPr>
        <w:t>nderzocht in volgende  studie: L</w:t>
      </w:r>
      <w:r w:rsidRPr="000113D2">
        <w:rPr>
          <w:sz w:val="18"/>
          <w:szCs w:val="18"/>
        </w:rPr>
        <w:t xml:space="preserve">okale demografie: loop van de bevolking 2000-2009. Migratie, geboortes en overlijdens in de Antwerpse gemeenten, Provincie Antwerpen </w:t>
      </w:r>
      <w:r>
        <w:rPr>
          <w:sz w:val="18"/>
          <w:szCs w:val="18"/>
        </w:rPr>
        <w:t>-</w:t>
      </w:r>
      <w:r w:rsidRPr="000113D2">
        <w:rPr>
          <w:sz w:val="18"/>
          <w:szCs w:val="18"/>
        </w:rPr>
        <w:t xml:space="preserve"> Dienst Welzijn en Gezondheid, 2012 (p. 7-12)</w:t>
      </w:r>
      <w:r>
        <w:rPr>
          <w:sz w:val="18"/>
          <w:szCs w:val="18"/>
        </w:rPr>
        <w:t xml:space="preserve"> </w:t>
      </w:r>
      <w:hyperlink r:id="rId10" w:history="1">
        <w:r w:rsidRPr="0004019E">
          <w:rPr>
            <w:rStyle w:val="Hyperlink"/>
            <w:sz w:val="18"/>
            <w:szCs w:val="18"/>
          </w:rPr>
          <w:t>lokale demografie loop 2000-2009</w:t>
        </w:r>
      </w:hyperlink>
    </w:p>
    <w:p w:rsidR="00D848E3" w:rsidRDefault="00D848E3">
      <w:pPr>
        <w:pStyle w:val="Voetnoottekst"/>
      </w:pPr>
      <w:r>
        <w:rPr>
          <w:sz w:val="18"/>
          <w:szCs w:val="18"/>
        </w:rPr>
        <w:t xml:space="preserve">Voor 1 op 7 gemeenten in de provincie Antwerpen was in 2010 het aantal inwoners ouder dan 60 jaar 10 % meer dan het aantal als er in de tien voorgaande jaren geen migratie was. Het betrof bijna uitsluitend gemeenten met een hoge capaciteit voor woonzorgcentra. </w:t>
      </w:r>
    </w:p>
  </w:footnote>
  <w:footnote w:id="24">
    <w:p w:rsidR="00D848E3" w:rsidRDefault="00D848E3">
      <w:pPr>
        <w:pStyle w:val="Voetnoottekst"/>
      </w:pPr>
      <w:r>
        <w:rPr>
          <w:rStyle w:val="Voetnootmarkering"/>
        </w:rPr>
        <w:footnoteRef/>
      </w:r>
      <w:r>
        <w:t xml:space="preserve"> </w:t>
      </w:r>
      <w:r w:rsidRPr="00670860">
        <w:rPr>
          <w:sz w:val="18"/>
          <w:szCs w:val="18"/>
        </w:rPr>
        <w:t>De evolutie</w:t>
      </w:r>
      <w:r>
        <w:rPr>
          <w:sz w:val="18"/>
          <w:szCs w:val="18"/>
        </w:rPr>
        <w:t xml:space="preserve">s </w:t>
      </w:r>
      <w:r w:rsidRPr="00670860">
        <w:rPr>
          <w:sz w:val="18"/>
          <w:szCs w:val="18"/>
        </w:rPr>
        <w:t xml:space="preserve">zijn goed te vatten in ‘negatief exponentiële’ trendcurves. </w:t>
      </w:r>
      <w:r w:rsidRPr="00EE0C7A">
        <w:rPr>
          <w:sz w:val="18"/>
          <w:szCs w:val="18"/>
        </w:rPr>
        <w:t xml:space="preserve">Voor de sterftekansen boven 90 jaar zijn er </w:t>
      </w:r>
      <w:r>
        <w:rPr>
          <w:sz w:val="18"/>
          <w:szCs w:val="18"/>
        </w:rPr>
        <w:t xml:space="preserve">wel </w:t>
      </w:r>
      <w:r w:rsidRPr="00EE0C7A">
        <w:rPr>
          <w:sz w:val="18"/>
          <w:szCs w:val="18"/>
        </w:rPr>
        <w:t>sterkere schommelingen en wordt een andere methode gevolgd. Zie SVR15/1, p. 25-26</w:t>
      </w:r>
    </w:p>
  </w:footnote>
  <w:footnote w:id="25">
    <w:p w:rsidR="00D848E3" w:rsidRDefault="00D848E3" w:rsidP="00B95F71">
      <w:pPr>
        <w:spacing w:after="0" w:line="240" w:lineRule="auto"/>
      </w:pPr>
      <w:r>
        <w:rPr>
          <w:rStyle w:val="Voetnootmarkering"/>
        </w:rPr>
        <w:footnoteRef/>
      </w:r>
      <w:r>
        <w:t xml:space="preserve"> </w:t>
      </w:r>
      <w:r w:rsidRPr="005F03B4">
        <w:rPr>
          <w:sz w:val="18"/>
          <w:szCs w:val="18"/>
        </w:rPr>
        <w:t>Voor jongere leeftijden is sterfte gering en zijn dan ook de verschillen gering.</w:t>
      </w:r>
      <w:r>
        <w:rPr>
          <w:sz w:val="18"/>
          <w:szCs w:val="18"/>
        </w:rPr>
        <w:t xml:space="preserve"> </w:t>
      </w:r>
      <w:r w:rsidRPr="005F03B4">
        <w:rPr>
          <w:sz w:val="18"/>
          <w:szCs w:val="18"/>
        </w:rPr>
        <w:t>Boven de leeftijd van 90 jaar is het aantal overlijdens te gering om duidelijke lokale verschillen te kunnen vaststellen.</w:t>
      </w:r>
    </w:p>
  </w:footnote>
  <w:footnote w:id="26">
    <w:p w:rsidR="00D848E3" w:rsidRPr="00B76DD0" w:rsidRDefault="00D848E3" w:rsidP="00B76DD0">
      <w:pPr>
        <w:spacing w:after="0" w:line="240" w:lineRule="auto"/>
        <w:rPr>
          <w:sz w:val="18"/>
          <w:szCs w:val="18"/>
        </w:rPr>
      </w:pPr>
      <w:r>
        <w:rPr>
          <w:rStyle w:val="Voetnootmarkering"/>
        </w:rPr>
        <w:footnoteRef/>
      </w:r>
      <w:r>
        <w:t xml:space="preserve"> </w:t>
      </w:r>
      <w:r w:rsidRPr="00B76DD0">
        <w:rPr>
          <w:sz w:val="18"/>
          <w:szCs w:val="18"/>
        </w:rPr>
        <w:t xml:space="preserve">Voor de sterfte tussen 65 en 90 jaar werd voor de jaren 2010-2013 (per geslacht) het aantal overlijdens in iedere gemeente vergeleken met het aantal dat zou te verwachten zijn als de sterfterisico’s die voor Vlaanderen zouden zijn. Een hoger aantal overlijdens is het gevolg van in feite hogere sterfterisico’s.   </w:t>
      </w:r>
    </w:p>
    <w:p w:rsidR="00D848E3" w:rsidRDefault="00D848E3" w:rsidP="00B76DD0">
      <w:pPr>
        <w:pStyle w:val="Voetnoottekst"/>
        <w:rPr>
          <w:sz w:val="18"/>
          <w:szCs w:val="18"/>
        </w:rPr>
      </w:pPr>
      <w:r w:rsidRPr="00B76DD0">
        <w:rPr>
          <w:sz w:val="18"/>
          <w:szCs w:val="18"/>
        </w:rPr>
        <w:t>Op die basis worden de gemeenten (per geslacht) ingedeeld in drie groepen: een kwart met lagere sterfte, een kwart met hogere sterfte, en de helft in de middengroep.</w:t>
      </w:r>
    </w:p>
    <w:p w:rsidR="00D848E3" w:rsidRDefault="00D848E3" w:rsidP="00B76DD0">
      <w:pPr>
        <w:pStyle w:val="Voetnoottekst"/>
      </w:pPr>
      <w:r>
        <w:rPr>
          <w:sz w:val="18"/>
          <w:szCs w:val="18"/>
        </w:rPr>
        <w:t xml:space="preserve">De zelfde methode werd voor alle inwoners ouder dan 60 en voor beide geslachten samen toegepast in een studie van de provincie Antwerpen (zie voetnoot 21, p.17-20). Zoals  voor het saldo van migratie vallen de hogere  waarden voor gemeenten met  een hoge capaciteit voor woonzorgcentra op. </w:t>
      </w:r>
    </w:p>
  </w:footnote>
  <w:footnote w:id="27">
    <w:p w:rsidR="00D848E3" w:rsidRPr="005D5FB1" w:rsidRDefault="00D848E3">
      <w:pPr>
        <w:pStyle w:val="Voetnoottekst"/>
        <w:rPr>
          <w:sz w:val="18"/>
          <w:szCs w:val="18"/>
        </w:rPr>
      </w:pPr>
      <w:r>
        <w:rPr>
          <w:rStyle w:val="Voetnootmarkering"/>
        </w:rPr>
        <w:footnoteRef/>
      </w:r>
      <w:r>
        <w:t xml:space="preserve"> </w:t>
      </w:r>
      <w:r w:rsidRPr="005D5FB1">
        <w:rPr>
          <w:sz w:val="18"/>
          <w:szCs w:val="18"/>
        </w:rPr>
        <w:t xml:space="preserve">Licht hoger voor alleenstaanden en licht lager voor grote gezinnen. Zie ook: Provincie Antwerpen, </w:t>
      </w:r>
      <w:hyperlink r:id="rId11" w:history="1">
        <w:r w:rsidRPr="005D5FB1">
          <w:rPr>
            <w:rStyle w:val="Hyperlink"/>
            <w:sz w:val="18"/>
            <w:szCs w:val="18"/>
          </w:rPr>
          <w:t>Lage inkomens en leeftijd, lokale verschillen</w:t>
        </w:r>
      </w:hyperlink>
      <w:r w:rsidRPr="005D5FB1">
        <w:rPr>
          <w:sz w:val="18"/>
          <w:szCs w:val="18"/>
        </w:rPr>
        <w:t xml:space="preserve">, 2014, 19 p. </w:t>
      </w:r>
    </w:p>
  </w:footnote>
  <w:footnote w:id="28">
    <w:p w:rsidR="00D848E3" w:rsidRPr="00BF34D3" w:rsidRDefault="00D848E3">
      <w:pPr>
        <w:pStyle w:val="Voetnoottekst"/>
        <w:rPr>
          <w:sz w:val="18"/>
          <w:szCs w:val="18"/>
        </w:rPr>
      </w:pPr>
      <w:r>
        <w:rPr>
          <w:rStyle w:val="Voetnootmarkering"/>
        </w:rPr>
        <w:footnoteRef/>
      </w:r>
      <w:r>
        <w:t xml:space="preserve"> </w:t>
      </w:r>
      <w:r w:rsidRPr="00BF34D3">
        <w:rPr>
          <w:sz w:val="18"/>
          <w:szCs w:val="18"/>
        </w:rPr>
        <w:t>De samenhang tussen beide evoluties is voor de gemeenten in de provincie eerder beperkt (R² = 0,46).</w:t>
      </w:r>
      <w:r>
        <w:rPr>
          <w:sz w:val="18"/>
          <w:szCs w:val="18"/>
        </w:rPr>
        <w:t xml:space="preserve"> Gemeenten verschillen voor de evolutie 75+ ook veel sterker (</w:t>
      </w:r>
      <w:r w:rsidRPr="00BF34D3">
        <w:rPr>
          <w:sz w:val="18"/>
          <w:szCs w:val="18"/>
        </w:rPr>
        <w:t xml:space="preserve">gemiddelde afwijking </w:t>
      </w:r>
      <w:r>
        <w:rPr>
          <w:sz w:val="18"/>
          <w:szCs w:val="18"/>
        </w:rPr>
        <w:t>11,4 tegenover 6,2).</w:t>
      </w:r>
    </w:p>
  </w:footnote>
  <w:footnote w:id="29">
    <w:p w:rsidR="00D848E3" w:rsidRPr="00BA2EF4" w:rsidRDefault="00D848E3" w:rsidP="005F6140">
      <w:pPr>
        <w:pStyle w:val="Voetnoottekst"/>
        <w:rPr>
          <w:sz w:val="18"/>
          <w:szCs w:val="18"/>
        </w:rPr>
      </w:pPr>
      <w:r>
        <w:rPr>
          <w:rStyle w:val="Voetnootmarkering"/>
        </w:rPr>
        <w:footnoteRef/>
      </w:r>
      <w:r>
        <w:t xml:space="preserve"> </w:t>
      </w:r>
      <w:r w:rsidRPr="00BA2EF4">
        <w:rPr>
          <w:sz w:val="18"/>
          <w:szCs w:val="18"/>
        </w:rPr>
        <w:t>De lokale aantallen per leeftijdsgroep worden voor 2014 en 2024 vermenigvuldigd met de Vlaamse percentages eind 2012. De lokale percentages kunnen afwijken. Voor de zorgvraag geeft dit een fout die echter even groot zal zijn in 2014 als in 2024 en hierdoor geen invloed heeft op de evolutie.</w:t>
      </w:r>
    </w:p>
  </w:footnote>
  <w:footnote w:id="30">
    <w:p w:rsidR="00D848E3" w:rsidRPr="00B119F2" w:rsidRDefault="00D848E3">
      <w:pPr>
        <w:pStyle w:val="Voetnoottekst"/>
        <w:rPr>
          <w:sz w:val="18"/>
          <w:szCs w:val="18"/>
        </w:rPr>
      </w:pPr>
      <w:r>
        <w:rPr>
          <w:rStyle w:val="Voetnootmarkering"/>
        </w:rPr>
        <w:footnoteRef/>
      </w:r>
      <w:r>
        <w:t xml:space="preserve"> </w:t>
      </w:r>
      <w:r w:rsidRPr="00B119F2">
        <w:rPr>
          <w:sz w:val="18"/>
          <w:szCs w:val="18"/>
        </w:rPr>
        <w:t>Dit komt omdat men geen rekening houdt met grote  verschillen binnen die oudere leeftijdsgroep. Hierdoor geeft de evolutie van het aantal ouderen een sterke onderschatting van de evolutie van de zorgvraag. Daar dit voor bijna alle gemeenten gebeurt, belet dit niet dat de evolutie van de zorgvraag wel sterkt samenhangt met de evolutie van het aantal ouder dan 75 jaar. (R²=0,80)</w:t>
      </w:r>
    </w:p>
  </w:footnote>
  <w:footnote w:id="31">
    <w:p w:rsidR="00D848E3" w:rsidRPr="00E12896" w:rsidRDefault="00D848E3">
      <w:pPr>
        <w:pStyle w:val="Voetnoottekst"/>
        <w:rPr>
          <w:sz w:val="18"/>
          <w:szCs w:val="18"/>
        </w:rPr>
      </w:pPr>
      <w:r>
        <w:rPr>
          <w:rStyle w:val="Voetnootmarkering"/>
        </w:rPr>
        <w:footnoteRef/>
      </w:r>
      <w:r>
        <w:t xml:space="preserve"> </w:t>
      </w:r>
      <w:r w:rsidRPr="00E12896">
        <w:rPr>
          <w:sz w:val="18"/>
          <w:szCs w:val="18"/>
        </w:rPr>
        <w:t>De projectie van SVR steunt voor internationale migratie slechts op de observatie voor enkele recente jaren met lager saldo vanuit Nederland.</w:t>
      </w:r>
      <w:r>
        <w:rPr>
          <w:sz w:val="18"/>
          <w:szCs w:val="18"/>
        </w:rPr>
        <w:t xml:space="preserve"> Voor Baarle-Hertog is iedere projectie moeilijk wegens de geografisch  positie en het kleine inwonertal.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8E3" w:rsidRDefault="00D848E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8E3" w:rsidRDefault="00D848E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8E3" w:rsidRDefault="00D848E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066"/>
    <w:multiLevelType w:val="hybridMultilevel"/>
    <w:tmpl w:val="8FF40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7A0E1A"/>
    <w:multiLevelType w:val="hybridMultilevel"/>
    <w:tmpl w:val="6868E1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8C633D9"/>
    <w:multiLevelType w:val="hybridMultilevel"/>
    <w:tmpl w:val="25662E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AFA5C5C"/>
    <w:multiLevelType w:val="hybridMultilevel"/>
    <w:tmpl w:val="088400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B3796B"/>
    <w:multiLevelType w:val="hybridMultilevel"/>
    <w:tmpl w:val="6AB2CBB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02758C1"/>
    <w:multiLevelType w:val="hybridMultilevel"/>
    <w:tmpl w:val="48E4A012"/>
    <w:lvl w:ilvl="0" w:tplc="8738087E">
      <w:start w:val="1"/>
      <w:numFmt w:val="upperLetter"/>
      <w:lvlText w:val="%1)"/>
      <w:lvlJc w:val="left"/>
      <w:pPr>
        <w:ind w:left="1068" w:hanging="708"/>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0885A98"/>
    <w:multiLevelType w:val="hybridMultilevel"/>
    <w:tmpl w:val="9864AB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4151C32"/>
    <w:multiLevelType w:val="hybridMultilevel"/>
    <w:tmpl w:val="D256E9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9075876"/>
    <w:multiLevelType w:val="hybridMultilevel"/>
    <w:tmpl w:val="E6FE2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E7A6111"/>
    <w:multiLevelType w:val="hybridMultilevel"/>
    <w:tmpl w:val="291A34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EDC044F"/>
    <w:multiLevelType w:val="hybridMultilevel"/>
    <w:tmpl w:val="F31863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32785B"/>
    <w:multiLevelType w:val="hybridMultilevel"/>
    <w:tmpl w:val="02E45B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4686F4B"/>
    <w:multiLevelType w:val="hybridMultilevel"/>
    <w:tmpl w:val="B87E60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4D9502D"/>
    <w:multiLevelType w:val="hybridMultilevel"/>
    <w:tmpl w:val="3F2E14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92D62F1"/>
    <w:multiLevelType w:val="hybridMultilevel"/>
    <w:tmpl w:val="2A6CDB7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nsid w:val="29D74BCA"/>
    <w:multiLevelType w:val="hybridMultilevel"/>
    <w:tmpl w:val="26B8A6E8"/>
    <w:lvl w:ilvl="0" w:tplc="08130001">
      <w:start w:val="1"/>
      <w:numFmt w:val="bullet"/>
      <w:lvlText w:val=""/>
      <w:lvlJc w:val="left"/>
      <w:pPr>
        <w:ind w:left="720" w:hanging="360"/>
      </w:pPr>
      <w:rPr>
        <w:rFonts w:ascii="Symbol" w:hAnsi="Symbol" w:hint="default"/>
        <w:b/>
        <w:i/>
        <w:color w:val="3333FF"/>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B7E45F4"/>
    <w:multiLevelType w:val="hybridMultilevel"/>
    <w:tmpl w:val="CAD863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D930B8C"/>
    <w:multiLevelType w:val="hybridMultilevel"/>
    <w:tmpl w:val="07DCC41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302E1EF9"/>
    <w:multiLevelType w:val="hybridMultilevel"/>
    <w:tmpl w:val="D8920F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E367BB"/>
    <w:multiLevelType w:val="hybridMultilevel"/>
    <w:tmpl w:val="5D3E8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5111DBF"/>
    <w:multiLevelType w:val="hybridMultilevel"/>
    <w:tmpl w:val="AF3404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7C715C0"/>
    <w:multiLevelType w:val="hybridMultilevel"/>
    <w:tmpl w:val="DA0EC81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98011EB"/>
    <w:multiLevelType w:val="hybridMultilevel"/>
    <w:tmpl w:val="25E89566"/>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3AC443A5"/>
    <w:multiLevelType w:val="hybridMultilevel"/>
    <w:tmpl w:val="9B3A9E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0402676"/>
    <w:multiLevelType w:val="hybridMultilevel"/>
    <w:tmpl w:val="477CBB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2922BF0"/>
    <w:multiLevelType w:val="hybridMultilevel"/>
    <w:tmpl w:val="F9CCCB5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43BE08C7"/>
    <w:multiLevelType w:val="hybridMultilevel"/>
    <w:tmpl w:val="E25A2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76110C5"/>
    <w:multiLevelType w:val="hybridMultilevel"/>
    <w:tmpl w:val="1FBA9B9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4C5757BB"/>
    <w:multiLevelType w:val="hybridMultilevel"/>
    <w:tmpl w:val="B9FED5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E6E1E12"/>
    <w:multiLevelType w:val="hybridMultilevel"/>
    <w:tmpl w:val="A54E50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2792E85"/>
    <w:multiLevelType w:val="hybridMultilevel"/>
    <w:tmpl w:val="D4C8A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54046264"/>
    <w:multiLevelType w:val="hybridMultilevel"/>
    <w:tmpl w:val="B5C031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5C402B6"/>
    <w:multiLevelType w:val="hybridMultilevel"/>
    <w:tmpl w:val="42B8E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71806D9"/>
    <w:multiLevelType w:val="hybridMultilevel"/>
    <w:tmpl w:val="B73A9A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581F73D3"/>
    <w:multiLevelType w:val="hybridMultilevel"/>
    <w:tmpl w:val="746E34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5B313D8C"/>
    <w:multiLevelType w:val="hybridMultilevel"/>
    <w:tmpl w:val="734E0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5D415116"/>
    <w:multiLevelType w:val="hybridMultilevel"/>
    <w:tmpl w:val="EFFE85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1072276"/>
    <w:multiLevelType w:val="hybridMultilevel"/>
    <w:tmpl w:val="A678D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2965DA9"/>
    <w:multiLevelType w:val="hybridMultilevel"/>
    <w:tmpl w:val="0248037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711A4653"/>
    <w:multiLevelType w:val="hybridMultilevel"/>
    <w:tmpl w:val="BB58C20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nsid w:val="7B181504"/>
    <w:multiLevelType w:val="hybridMultilevel"/>
    <w:tmpl w:val="C0E8F5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CCB5429"/>
    <w:multiLevelType w:val="hybridMultilevel"/>
    <w:tmpl w:val="37A2C3B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3"/>
  </w:num>
  <w:num w:numId="3">
    <w:abstractNumId w:val="25"/>
  </w:num>
  <w:num w:numId="4">
    <w:abstractNumId w:val="37"/>
  </w:num>
  <w:num w:numId="5">
    <w:abstractNumId w:val="33"/>
  </w:num>
  <w:num w:numId="6">
    <w:abstractNumId w:val="30"/>
  </w:num>
  <w:num w:numId="7">
    <w:abstractNumId w:val="6"/>
  </w:num>
  <w:num w:numId="8">
    <w:abstractNumId w:val="27"/>
  </w:num>
  <w:num w:numId="9">
    <w:abstractNumId w:val="16"/>
  </w:num>
  <w:num w:numId="10">
    <w:abstractNumId w:val="31"/>
  </w:num>
  <w:num w:numId="11">
    <w:abstractNumId w:val="1"/>
  </w:num>
  <w:num w:numId="12">
    <w:abstractNumId w:val="29"/>
  </w:num>
  <w:num w:numId="13">
    <w:abstractNumId w:val="40"/>
  </w:num>
  <w:num w:numId="14">
    <w:abstractNumId w:val="36"/>
  </w:num>
  <w:num w:numId="15">
    <w:abstractNumId w:val="34"/>
  </w:num>
  <w:num w:numId="16">
    <w:abstractNumId w:val="13"/>
  </w:num>
  <w:num w:numId="17">
    <w:abstractNumId w:val="12"/>
  </w:num>
  <w:num w:numId="18">
    <w:abstractNumId w:val="9"/>
  </w:num>
  <w:num w:numId="19">
    <w:abstractNumId w:val="19"/>
  </w:num>
  <w:num w:numId="20">
    <w:abstractNumId w:val="28"/>
  </w:num>
  <w:num w:numId="21">
    <w:abstractNumId w:val="15"/>
  </w:num>
  <w:num w:numId="22">
    <w:abstractNumId w:val="23"/>
  </w:num>
  <w:num w:numId="23">
    <w:abstractNumId w:val="32"/>
  </w:num>
  <w:num w:numId="24">
    <w:abstractNumId w:val="7"/>
  </w:num>
  <w:num w:numId="25">
    <w:abstractNumId w:val="39"/>
  </w:num>
  <w:num w:numId="26">
    <w:abstractNumId w:val="0"/>
  </w:num>
  <w:num w:numId="27">
    <w:abstractNumId w:val="26"/>
  </w:num>
  <w:num w:numId="28">
    <w:abstractNumId w:val="24"/>
  </w:num>
  <w:num w:numId="29">
    <w:abstractNumId w:val="14"/>
  </w:num>
  <w:num w:numId="30">
    <w:abstractNumId w:val="2"/>
  </w:num>
  <w:num w:numId="31">
    <w:abstractNumId w:val="38"/>
  </w:num>
  <w:num w:numId="32">
    <w:abstractNumId w:val="4"/>
  </w:num>
  <w:num w:numId="33">
    <w:abstractNumId w:val="8"/>
  </w:num>
  <w:num w:numId="34">
    <w:abstractNumId w:val="5"/>
  </w:num>
  <w:num w:numId="35">
    <w:abstractNumId w:val="17"/>
  </w:num>
  <w:num w:numId="36">
    <w:abstractNumId w:val="41"/>
  </w:num>
  <w:num w:numId="37">
    <w:abstractNumId w:val="10"/>
  </w:num>
  <w:num w:numId="38">
    <w:abstractNumId w:val="11"/>
  </w:num>
  <w:num w:numId="39">
    <w:abstractNumId w:val="35"/>
  </w:num>
  <w:num w:numId="40">
    <w:abstractNumId w:val="22"/>
  </w:num>
  <w:num w:numId="41">
    <w:abstractNumId w:val="2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C4"/>
    <w:rsid w:val="00003111"/>
    <w:rsid w:val="0000364F"/>
    <w:rsid w:val="00003849"/>
    <w:rsid w:val="00004361"/>
    <w:rsid w:val="00005366"/>
    <w:rsid w:val="00005462"/>
    <w:rsid w:val="00006A92"/>
    <w:rsid w:val="000071E5"/>
    <w:rsid w:val="00007294"/>
    <w:rsid w:val="00007CE9"/>
    <w:rsid w:val="00007D79"/>
    <w:rsid w:val="00010FB1"/>
    <w:rsid w:val="000113D2"/>
    <w:rsid w:val="00014453"/>
    <w:rsid w:val="0001493E"/>
    <w:rsid w:val="00014C0F"/>
    <w:rsid w:val="00017D7C"/>
    <w:rsid w:val="000217DA"/>
    <w:rsid w:val="00024121"/>
    <w:rsid w:val="00025422"/>
    <w:rsid w:val="00026A69"/>
    <w:rsid w:val="00031BA9"/>
    <w:rsid w:val="0003216E"/>
    <w:rsid w:val="0003446D"/>
    <w:rsid w:val="00034BE5"/>
    <w:rsid w:val="00034DAF"/>
    <w:rsid w:val="000361B8"/>
    <w:rsid w:val="00036318"/>
    <w:rsid w:val="0004019E"/>
    <w:rsid w:val="00040E09"/>
    <w:rsid w:val="00040E62"/>
    <w:rsid w:val="000411D7"/>
    <w:rsid w:val="000413AA"/>
    <w:rsid w:val="00041555"/>
    <w:rsid w:val="00041A9E"/>
    <w:rsid w:val="000428D1"/>
    <w:rsid w:val="00042AC1"/>
    <w:rsid w:val="00042ADE"/>
    <w:rsid w:val="00043392"/>
    <w:rsid w:val="00045155"/>
    <w:rsid w:val="00045686"/>
    <w:rsid w:val="00045734"/>
    <w:rsid w:val="000467EC"/>
    <w:rsid w:val="00046D30"/>
    <w:rsid w:val="0005082C"/>
    <w:rsid w:val="00052967"/>
    <w:rsid w:val="00053868"/>
    <w:rsid w:val="000538B0"/>
    <w:rsid w:val="00053C82"/>
    <w:rsid w:val="000549D3"/>
    <w:rsid w:val="00054D7F"/>
    <w:rsid w:val="0005530D"/>
    <w:rsid w:val="00055745"/>
    <w:rsid w:val="00056D01"/>
    <w:rsid w:val="00062392"/>
    <w:rsid w:val="00063089"/>
    <w:rsid w:val="00063D40"/>
    <w:rsid w:val="00066119"/>
    <w:rsid w:val="000669FE"/>
    <w:rsid w:val="00071BEA"/>
    <w:rsid w:val="00071E50"/>
    <w:rsid w:val="0007212C"/>
    <w:rsid w:val="000730D6"/>
    <w:rsid w:val="0007335F"/>
    <w:rsid w:val="00074EEC"/>
    <w:rsid w:val="00074EF7"/>
    <w:rsid w:val="000765A3"/>
    <w:rsid w:val="000803EA"/>
    <w:rsid w:val="00080FFC"/>
    <w:rsid w:val="000821E6"/>
    <w:rsid w:val="00083575"/>
    <w:rsid w:val="0008513B"/>
    <w:rsid w:val="000877F8"/>
    <w:rsid w:val="00090CC5"/>
    <w:rsid w:val="0009155D"/>
    <w:rsid w:val="00091A71"/>
    <w:rsid w:val="00092595"/>
    <w:rsid w:val="000927DA"/>
    <w:rsid w:val="000937D9"/>
    <w:rsid w:val="00093A33"/>
    <w:rsid w:val="000964A8"/>
    <w:rsid w:val="000A0BF9"/>
    <w:rsid w:val="000A4631"/>
    <w:rsid w:val="000A5643"/>
    <w:rsid w:val="000A57D7"/>
    <w:rsid w:val="000A7791"/>
    <w:rsid w:val="000A7C8E"/>
    <w:rsid w:val="000B043C"/>
    <w:rsid w:val="000B0506"/>
    <w:rsid w:val="000B0DB6"/>
    <w:rsid w:val="000B14AA"/>
    <w:rsid w:val="000B2BB9"/>
    <w:rsid w:val="000B6782"/>
    <w:rsid w:val="000B7B8F"/>
    <w:rsid w:val="000C0BE9"/>
    <w:rsid w:val="000C0C87"/>
    <w:rsid w:val="000C0E85"/>
    <w:rsid w:val="000C0EBD"/>
    <w:rsid w:val="000C123C"/>
    <w:rsid w:val="000C23F6"/>
    <w:rsid w:val="000C2F27"/>
    <w:rsid w:val="000C3B95"/>
    <w:rsid w:val="000C54C7"/>
    <w:rsid w:val="000C6136"/>
    <w:rsid w:val="000C669A"/>
    <w:rsid w:val="000C6A98"/>
    <w:rsid w:val="000C701D"/>
    <w:rsid w:val="000C7E99"/>
    <w:rsid w:val="000D04E8"/>
    <w:rsid w:val="000D0A25"/>
    <w:rsid w:val="000D14D5"/>
    <w:rsid w:val="000D2993"/>
    <w:rsid w:val="000D3AE0"/>
    <w:rsid w:val="000D425D"/>
    <w:rsid w:val="000D4A0D"/>
    <w:rsid w:val="000D4EEE"/>
    <w:rsid w:val="000D529E"/>
    <w:rsid w:val="000D5364"/>
    <w:rsid w:val="000D6DD3"/>
    <w:rsid w:val="000E0124"/>
    <w:rsid w:val="000E0D62"/>
    <w:rsid w:val="000E101A"/>
    <w:rsid w:val="000E1E25"/>
    <w:rsid w:val="000E2824"/>
    <w:rsid w:val="000E2991"/>
    <w:rsid w:val="000E4164"/>
    <w:rsid w:val="000E421F"/>
    <w:rsid w:val="000E4E79"/>
    <w:rsid w:val="000E60EC"/>
    <w:rsid w:val="000E6DD0"/>
    <w:rsid w:val="000E7D6A"/>
    <w:rsid w:val="000F0815"/>
    <w:rsid w:val="000F163E"/>
    <w:rsid w:val="000F2E8E"/>
    <w:rsid w:val="000F53CA"/>
    <w:rsid w:val="000F5739"/>
    <w:rsid w:val="000F7022"/>
    <w:rsid w:val="0010072D"/>
    <w:rsid w:val="00102614"/>
    <w:rsid w:val="00105921"/>
    <w:rsid w:val="0010635A"/>
    <w:rsid w:val="00107DDE"/>
    <w:rsid w:val="001103B0"/>
    <w:rsid w:val="00110B75"/>
    <w:rsid w:val="00115C88"/>
    <w:rsid w:val="00116194"/>
    <w:rsid w:val="001161EF"/>
    <w:rsid w:val="00116D80"/>
    <w:rsid w:val="001172D8"/>
    <w:rsid w:val="0012042E"/>
    <w:rsid w:val="00121EA2"/>
    <w:rsid w:val="00123616"/>
    <w:rsid w:val="0012489A"/>
    <w:rsid w:val="00124C0A"/>
    <w:rsid w:val="00124EF1"/>
    <w:rsid w:val="00125A2C"/>
    <w:rsid w:val="00126BCD"/>
    <w:rsid w:val="00127CEA"/>
    <w:rsid w:val="00127DCF"/>
    <w:rsid w:val="00131395"/>
    <w:rsid w:val="0013342F"/>
    <w:rsid w:val="001358E0"/>
    <w:rsid w:val="001360CA"/>
    <w:rsid w:val="00136364"/>
    <w:rsid w:val="00142143"/>
    <w:rsid w:val="00142391"/>
    <w:rsid w:val="00145CB2"/>
    <w:rsid w:val="00146694"/>
    <w:rsid w:val="00151366"/>
    <w:rsid w:val="00152FD9"/>
    <w:rsid w:val="00154B0D"/>
    <w:rsid w:val="0016001E"/>
    <w:rsid w:val="00160D9F"/>
    <w:rsid w:val="00161328"/>
    <w:rsid w:val="00161C0D"/>
    <w:rsid w:val="00162869"/>
    <w:rsid w:val="0016300B"/>
    <w:rsid w:val="001642CF"/>
    <w:rsid w:val="001652CD"/>
    <w:rsid w:val="00166D19"/>
    <w:rsid w:val="00167884"/>
    <w:rsid w:val="0016789B"/>
    <w:rsid w:val="00170E64"/>
    <w:rsid w:val="001762C4"/>
    <w:rsid w:val="0017676B"/>
    <w:rsid w:val="00181A3C"/>
    <w:rsid w:val="0018215A"/>
    <w:rsid w:val="00183406"/>
    <w:rsid w:val="00184730"/>
    <w:rsid w:val="00186633"/>
    <w:rsid w:val="0019222C"/>
    <w:rsid w:val="00192B92"/>
    <w:rsid w:val="001934C9"/>
    <w:rsid w:val="0019452D"/>
    <w:rsid w:val="00195054"/>
    <w:rsid w:val="001960F2"/>
    <w:rsid w:val="00196ACB"/>
    <w:rsid w:val="001975BC"/>
    <w:rsid w:val="001A0507"/>
    <w:rsid w:val="001A0D19"/>
    <w:rsid w:val="001A1624"/>
    <w:rsid w:val="001A20CF"/>
    <w:rsid w:val="001A244E"/>
    <w:rsid w:val="001A2591"/>
    <w:rsid w:val="001A2BF6"/>
    <w:rsid w:val="001A3C93"/>
    <w:rsid w:val="001A3CE2"/>
    <w:rsid w:val="001A41B5"/>
    <w:rsid w:val="001A5AF8"/>
    <w:rsid w:val="001A5B50"/>
    <w:rsid w:val="001B08EB"/>
    <w:rsid w:val="001B0E3D"/>
    <w:rsid w:val="001B1E2D"/>
    <w:rsid w:val="001B2307"/>
    <w:rsid w:val="001B330B"/>
    <w:rsid w:val="001C6CD1"/>
    <w:rsid w:val="001D0EB1"/>
    <w:rsid w:val="001D1373"/>
    <w:rsid w:val="001D1657"/>
    <w:rsid w:val="001D288D"/>
    <w:rsid w:val="001D28EF"/>
    <w:rsid w:val="001D300E"/>
    <w:rsid w:val="001D358F"/>
    <w:rsid w:val="001D3F23"/>
    <w:rsid w:val="001D5880"/>
    <w:rsid w:val="001D66DD"/>
    <w:rsid w:val="001E0B31"/>
    <w:rsid w:val="001E0B8C"/>
    <w:rsid w:val="001E0E97"/>
    <w:rsid w:val="001E1E9D"/>
    <w:rsid w:val="001E2223"/>
    <w:rsid w:val="001E3A1B"/>
    <w:rsid w:val="001E3EA7"/>
    <w:rsid w:val="001E3F1D"/>
    <w:rsid w:val="001E6067"/>
    <w:rsid w:val="001E6873"/>
    <w:rsid w:val="001E7449"/>
    <w:rsid w:val="001F053F"/>
    <w:rsid w:val="001F08DA"/>
    <w:rsid w:val="001F1D30"/>
    <w:rsid w:val="001F1E03"/>
    <w:rsid w:val="001F1E49"/>
    <w:rsid w:val="001F2794"/>
    <w:rsid w:val="001F28FF"/>
    <w:rsid w:val="001F68DB"/>
    <w:rsid w:val="001F6DE4"/>
    <w:rsid w:val="001F71DA"/>
    <w:rsid w:val="00200599"/>
    <w:rsid w:val="00202C69"/>
    <w:rsid w:val="00204733"/>
    <w:rsid w:val="0020486B"/>
    <w:rsid w:val="002048F6"/>
    <w:rsid w:val="00204B43"/>
    <w:rsid w:val="002055D0"/>
    <w:rsid w:val="002064FC"/>
    <w:rsid w:val="00207026"/>
    <w:rsid w:val="002108D5"/>
    <w:rsid w:val="0021154A"/>
    <w:rsid w:val="00211949"/>
    <w:rsid w:val="0021210F"/>
    <w:rsid w:val="00212E48"/>
    <w:rsid w:val="00213B28"/>
    <w:rsid w:val="002153FC"/>
    <w:rsid w:val="002163B2"/>
    <w:rsid w:val="00216C54"/>
    <w:rsid w:val="0021703D"/>
    <w:rsid w:val="00217757"/>
    <w:rsid w:val="00217762"/>
    <w:rsid w:val="00217EE8"/>
    <w:rsid w:val="002218C3"/>
    <w:rsid w:val="002218F5"/>
    <w:rsid w:val="00222FE9"/>
    <w:rsid w:val="00223698"/>
    <w:rsid w:val="00224626"/>
    <w:rsid w:val="0022527E"/>
    <w:rsid w:val="00225506"/>
    <w:rsid w:val="002271DE"/>
    <w:rsid w:val="00227869"/>
    <w:rsid w:val="00230435"/>
    <w:rsid w:val="00231357"/>
    <w:rsid w:val="00233124"/>
    <w:rsid w:val="002352DF"/>
    <w:rsid w:val="00235F84"/>
    <w:rsid w:val="00236785"/>
    <w:rsid w:val="002377B3"/>
    <w:rsid w:val="00237A8B"/>
    <w:rsid w:val="00237D5E"/>
    <w:rsid w:val="002403A0"/>
    <w:rsid w:val="0024199A"/>
    <w:rsid w:val="00243F33"/>
    <w:rsid w:val="0024525C"/>
    <w:rsid w:val="002475EB"/>
    <w:rsid w:val="0025022C"/>
    <w:rsid w:val="002511A1"/>
    <w:rsid w:val="002522CD"/>
    <w:rsid w:val="00252AAE"/>
    <w:rsid w:val="00253C77"/>
    <w:rsid w:val="00253EE4"/>
    <w:rsid w:val="00254FB5"/>
    <w:rsid w:val="00256389"/>
    <w:rsid w:val="0025644E"/>
    <w:rsid w:val="00257887"/>
    <w:rsid w:val="00257A49"/>
    <w:rsid w:val="00261542"/>
    <w:rsid w:val="00265057"/>
    <w:rsid w:val="00265C50"/>
    <w:rsid w:val="00267D72"/>
    <w:rsid w:val="0027035F"/>
    <w:rsid w:val="00270566"/>
    <w:rsid w:val="00271C37"/>
    <w:rsid w:val="00271D36"/>
    <w:rsid w:val="00272E0A"/>
    <w:rsid w:val="002741D5"/>
    <w:rsid w:val="00274563"/>
    <w:rsid w:val="0027502C"/>
    <w:rsid w:val="00276230"/>
    <w:rsid w:val="00276BF2"/>
    <w:rsid w:val="00276F44"/>
    <w:rsid w:val="00282AD3"/>
    <w:rsid w:val="00284856"/>
    <w:rsid w:val="00286247"/>
    <w:rsid w:val="00286604"/>
    <w:rsid w:val="00286F50"/>
    <w:rsid w:val="002870D2"/>
    <w:rsid w:val="00290A48"/>
    <w:rsid w:val="00292263"/>
    <w:rsid w:val="0029240C"/>
    <w:rsid w:val="002942EB"/>
    <w:rsid w:val="0029467E"/>
    <w:rsid w:val="0029470A"/>
    <w:rsid w:val="002947CD"/>
    <w:rsid w:val="002951CA"/>
    <w:rsid w:val="00295487"/>
    <w:rsid w:val="00296119"/>
    <w:rsid w:val="00296737"/>
    <w:rsid w:val="00296825"/>
    <w:rsid w:val="002A1D88"/>
    <w:rsid w:val="002A1EAF"/>
    <w:rsid w:val="002A2BFE"/>
    <w:rsid w:val="002A308E"/>
    <w:rsid w:val="002A34F6"/>
    <w:rsid w:val="002A38AD"/>
    <w:rsid w:val="002A38E4"/>
    <w:rsid w:val="002A614B"/>
    <w:rsid w:val="002A7D05"/>
    <w:rsid w:val="002B295B"/>
    <w:rsid w:val="002B33A6"/>
    <w:rsid w:val="002B367C"/>
    <w:rsid w:val="002B4144"/>
    <w:rsid w:val="002B431E"/>
    <w:rsid w:val="002B4C1F"/>
    <w:rsid w:val="002B77F2"/>
    <w:rsid w:val="002B796B"/>
    <w:rsid w:val="002C2709"/>
    <w:rsid w:val="002C4284"/>
    <w:rsid w:val="002C51D0"/>
    <w:rsid w:val="002C6FB1"/>
    <w:rsid w:val="002C7021"/>
    <w:rsid w:val="002D0A48"/>
    <w:rsid w:val="002D237B"/>
    <w:rsid w:val="002D4195"/>
    <w:rsid w:val="002D491C"/>
    <w:rsid w:val="002D7270"/>
    <w:rsid w:val="002E0721"/>
    <w:rsid w:val="002E14E8"/>
    <w:rsid w:val="002E34C7"/>
    <w:rsid w:val="002E4438"/>
    <w:rsid w:val="002E4B38"/>
    <w:rsid w:val="002E4F81"/>
    <w:rsid w:val="002E56F4"/>
    <w:rsid w:val="002E6482"/>
    <w:rsid w:val="002F0F2B"/>
    <w:rsid w:val="002F4620"/>
    <w:rsid w:val="002F4A2F"/>
    <w:rsid w:val="002F540D"/>
    <w:rsid w:val="002F577C"/>
    <w:rsid w:val="002F5A28"/>
    <w:rsid w:val="002F657E"/>
    <w:rsid w:val="002F684A"/>
    <w:rsid w:val="003004D6"/>
    <w:rsid w:val="00301619"/>
    <w:rsid w:val="00302328"/>
    <w:rsid w:val="003023A5"/>
    <w:rsid w:val="0030263B"/>
    <w:rsid w:val="003027F7"/>
    <w:rsid w:val="00304A1B"/>
    <w:rsid w:val="00305810"/>
    <w:rsid w:val="003061D0"/>
    <w:rsid w:val="00307FF0"/>
    <w:rsid w:val="0031080F"/>
    <w:rsid w:val="003145F5"/>
    <w:rsid w:val="00314A56"/>
    <w:rsid w:val="003152BB"/>
    <w:rsid w:val="00321A80"/>
    <w:rsid w:val="003225C3"/>
    <w:rsid w:val="00323293"/>
    <w:rsid w:val="00323804"/>
    <w:rsid w:val="00323AAE"/>
    <w:rsid w:val="00323AB9"/>
    <w:rsid w:val="00326F95"/>
    <w:rsid w:val="003279D6"/>
    <w:rsid w:val="00330218"/>
    <w:rsid w:val="003308AB"/>
    <w:rsid w:val="00332B35"/>
    <w:rsid w:val="00333179"/>
    <w:rsid w:val="0033329E"/>
    <w:rsid w:val="00333A7B"/>
    <w:rsid w:val="00334E52"/>
    <w:rsid w:val="003353F7"/>
    <w:rsid w:val="00335801"/>
    <w:rsid w:val="00341128"/>
    <w:rsid w:val="003446A0"/>
    <w:rsid w:val="00347D06"/>
    <w:rsid w:val="00350E70"/>
    <w:rsid w:val="00351669"/>
    <w:rsid w:val="00354988"/>
    <w:rsid w:val="00354DB6"/>
    <w:rsid w:val="003550BD"/>
    <w:rsid w:val="0035652B"/>
    <w:rsid w:val="00357DEB"/>
    <w:rsid w:val="00361070"/>
    <w:rsid w:val="0036460C"/>
    <w:rsid w:val="0036793A"/>
    <w:rsid w:val="00367C32"/>
    <w:rsid w:val="00367F9B"/>
    <w:rsid w:val="00371391"/>
    <w:rsid w:val="00374B5E"/>
    <w:rsid w:val="00376561"/>
    <w:rsid w:val="00376F86"/>
    <w:rsid w:val="00380D6C"/>
    <w:rsid w:val="003826E8"/>
    <w:rsid w:val="003838C5"/>
    <w:rsid w:val="003901D2"/>
    <w:rsid w:val="00390A7F"/>
    <w:rsid w:val="0039422E"/>
    <w:rsid w:val="00395B5B"/>
    <w:rsid w:val="0039791D"/>
    <w:rsid w:val="003A0243"/>
    <w:rsid w:val="003A04CA"/>
    <w:rsid w:val="003A3B96"/>
    <w:rsid w:val="003A4254"/>
    <w:rsid w:val="003A458A"/>
    <w:rsid w:val="003A71A4"/>
    <w:rsid w:val="003B0CF0"/>
    <w:rsid w:val="003B1E46"/>
    <w:rsid w:val="003B37F2"/>
    <w:rsid w:val="003B37FE"/>
    <w:rsid w:val="003B38D9"/>
    <w:rsid w:val="003B3E48"/>
    <w:rsid w:val="003B4F18"/>
    <w:rsid w:val="003B5B73"/>
    <w:rsid w:val="003B6254"/>
    <w:rsid w:val="003B6A4F"/>
    <w:rsid w:val="003B6F8A"/>
    <w:rsid w:val="003C1640"/>
    <w:rsid w:val="003C18D7"/>
    <w:rsid w:val="003C1C6B"/>
    <w:rsid w:val="003C1E8D"/>
    <w:rsid w:val="003C21E8"/>
    <w:rsid w:val="003C3529"/>
    <w:rsid w:val="003C4425"/>
    <w:rsid w:val="003C4AD9"/>
    <w:rsid w:val="003C4F78"/>
    <w:rsid w:val="003C5611"/>
    <w:rsid w:val="003C64DF"/>
    <w:rsid w:val="003C6627"/>
    <w:rsid w:val="003C7B2C"/>
    <w:rsid w:val="003C7D36"/>
    <w:rsid w:val="003D0455"/>
    <w:rsid w:val="003D1827"/>
    <w:rsid w:val="003D18E3"/>
    <w:rsid w:val="003D21E2"/>
    <w:rsid w:val="003D2531"/>
    <w:rsid w:val="003D2C85"/>
    <w:rsid w:val="003D4802"/>
    <w:rsid w:val="003D5942"/>
    <w:rsid w:val="003D6F2D"/>
    <w:rsid w:val="003E001A"/>
    <w:rsid w:val="003E06D4"/>
    <w:rsid w:val="003E0FAE"/>
    <w:rsid w:val="003E117D"/>
    <w:rsid w:val="003E133D"/>
    <w:rsid w:val="003E15D6"/>
    <w:rsid w:val="003E1948"/>
    <w:rsid w:val="003E3145"/>
    <w:rsid w:val="003E3A0B"/>
    <w:rsid w:val="003E4AFA"/>
    <w:rsid w:val="003E59D3"/>
    <w:rsid w:val="003F01E0"/>
    <w:rsid w:val="003F0AD9"/>
    <w:rsid w:val="003F2AA0"/>
    <w:rsid w:val="003F3222"/>
    <w:rsid w:val="003F4BD9"/>
    <w:rsid w:val="003F55D8"/>
    <w:rsid w:val="003F56D9"/>
    <w:rsid w:val="003F5E95"/>
    <w:rsid w:val="004008B2"/>
    <w:rsid w:val="00401389"/>
    <w:rsid w:val="00402141"/>
    <w:rsid w:val="00402CBA"/>
    <w:rsid w:val="00404B39"/>
    <w:rsid w:val="00404D8A"/>
    <w:rsid w:val="004070F6"/>
    <w:rsid w:val="00410CDB"/>
    <w:rsid w:val="00412195"/>
    <w:rsid w:val="004124DC"/>
    <w:rsid w:val="00412750"/>
    <w:rsid w:val="0041326F"/>
    <w:rsid w:val="00413E76"/>
    <w:rsid w:val="00415219"/>
    <w:rsid w:val="00416372"/>
    <w:rsid w:val="00417369"/>
    <w:rsid w:val="00417876"/>
    <w:rsid w:val="00425028"/>
    <w:rsid w:val="00425FFD"/>
    <w:rsid w:val="00427F44"/>
    <w:rsid w:val="00430C2D"/>
    <w:rsid w:val="00430F76"/>
    <w:rsid w:val="00431421"/>
    <w:rsid w:val="00431BFD"/>
    <w:rsid w:val="0043304E"/>
    <w:rsid w:val="00434443"/>
    <w:rsid w:val="004345AE"/>
    <w:rsid w:val="0043600B"/>
    <w:rsid w:val="00436CED"/>
    <w:rsid w:val="004374F2"/>
    <w:rsid w:val="00440848"/>
    <w:rsid w:val="004434FF"/>
    <w:rsid w:val="004446DC"/>
    <w:rsid w:val="00445345"/>
    <w:rsid w:val="004463C5"/>
    <w:rsid w:val="00446AB6"/>
    <w:rsid w:val="00446E8F"/>
    <w:rsid w:val="00447DAB"/>
    <w:rsid w:val="00447ED6"/>
    <w:rsid w:val="004515CF"/>
    <w:rsid w:val="004516F2"/>
    <w:rsid w:val="004522D4"/>
    <w:rsid w:val="00452E5C"/>
    <w:rsid w:val="00453F9A"/>
    <w:rsid w:val="004543FB"/>
    <w:rsid w:val="00455023"/>
    <w:rsid w:val="0045514F"/>
    <w:rsid w:val="004557AC"/>
    <w:rsid w:val="00455AD1"/>
    <w:rsid w:val="00455AEC"/>
    <w:rsid w:val="00455FF2"/>
    <w:rsid w:val="00456B9B"/>
    <w:rsid w:val="00461A7D"/>
    <w:rsid w:val="004629F7"/>
    <w:rsid w:val="00462D79"/>
    <w:rsid w:val="00462EB9"/>
    <w:rsid w:val="00463073"/>
    <w:rsid w:val="0046312D"/>
    <w:rsid w:val="004641EC"/>
    <w:rsid w:val="0046486E"/>
    <w:rsid w:val="00464D1A"/>
    <w:rsid w:val="00464DF2"/>
    <w:rsid w:val="00466281"/>
    <w:rsid w:val="00467216"/>
    <w:rsid w:val="00467B8C"/>
    <w:rsid w:val="00467E1D"/>
    <w:rsid w:val="0047130F"/>
    <w:rsid w:val="00473EE9"/>
    <w:rsid w:val="0047401A"/>
    <w:rsid w:val="00475058"/>
    <w:rsid w:val="00475269"/>
    <w:rsid w:val="00476B35"/>
    <w:rsid w:val="00476CA5"/>
    <w:rsid w:val="00480A55"/>
    <w:rsid w:val="00482BEC"/>
    <w:rsid w:val="00482C19"/>
    <w:rsid w:val="00483320"/>
    <w:rsid w:val="00484ACA"/>
    <w:rsid w:val="00486FB8"/>
    <w:rsid w:val="00487047"/>
    <w:rsid w:val="00490BC2"/>
    <w:rsid w:val="0049158C"/>
    <w:rsid w:val="004917CB"/>
    <w:rsid w:val="004921FE"/>
    <w:rsid w:val="004928D3"/>
    <w:rsid w:val="00493DFC"/>
    <w:rsid w:val="004953B3"/>
    <w:rsid w:val="004955DB"/>
    <w:rsid w:val="004969A7"/>
    <w:rsid w:val="00496EEB"/>
    <w:rsid w:val="00497796"/>
    <w:rsid w:val="004A20D8"/>
    <w:rsid w:val="004A219E"/>
    <w:rsid w:val="004A424F"/>
    <w:rsid w:val="004B333B"/>
    <w:rsid w:val="004B4E18"/>
    <w:rsid w:val="004B6FF5"/>
    <w:rsid w:val="004C0BAC"/>
    <w:rsid w:val="004C1394"/>
    <w:rsid w:val="004C23CF"/>
    <w:rsid w:val="004C4788"/>
    <w:rsid w:val="004C4B18"/>
    <w:rsid w:val="004C5E6C"/>
    <w:rsid w:val="004C63AF"/>
    <w:rsid w:val="004C6939"/>
    <w:rsid w:val="004C6B81"/>
    <w:rsid w:val="004C76E3"/>
    <w:rsid w:val="004D0351"/>
    <w:rsid w:val="004D282C"/>
    <w:rsid w:val="004D2E42"/>
    <w:rsid w:val="004D32A1"/>
    <w:rsid w:val="004D4443"/>
    <w:rsid w:val="004D6D14"/>
    <w:rsid w:val="004D7600"/>
    <w:rsid w:val="004E04D7"/>
    <w:rsid w:val="004E074E"/>
    <w:rsid w:val="004E2251"/>
    <w:rsid w:val="004E2840"/>
    <w:rsid w:val="004E29BC"/>
    <w:rsid w:val="004E30E3"/>
    <w:rsid w:val="004E5A31"/>
    <w:rsid w:val="004E6051"/>
    <w:rsid w:val="004E764D"/>
    <w:rsid w:val="004E7703"/>
    <w:rsid w:val="004E7EBD"/>
    <w:rsid w:val="004F09DE"/>
    <w:rsid w:val="004F1751"/>
    <w:rsid w:val="004F31F0"/>
    <w:rsid w:val="004F5420"/>
    <w:rsid w:val="004F543B"/>
    <w:rsid w:val="004F5EF1"/>
    <w:rsid w:val="004F616B"/>
    <w:rsid w:val="004F6C7D"/>
    <w:rsid w:val="004F6FFA"/>
    <w:rsid w:val="00500361"/>
    <w:rsid w:val="0050131A"/>
    <w:rsid w:val="005018BF"/>
    <w:rsid w:val="00502C6B"/>
    <w:rsid w:val="00503C80"/>
    <w:rsid w:val="00504E9B"/>
    <w:rsid w:val="00505ED9"/>
    <w:rsid w:val="005068E9"/>
    <w:rsid w:val="00506C93"/>
    <w:rsid w:val="00513D48"/>
    <w:rsid w:val="00513EBE"/>
    <w:rsid w:val="00513F18"/>
    <w:rsid w:val="00517C9D"/>
    <w:rsid w:val="0052011F"/>
    <w:rsid w:val="005217B0"/>
    <w:rsid w:val="00523155"/>
    <w:rsid w:val="00523256"/>
    <w:rsid w:val="00523851"/>
    <w:rsid w:val="005240DE"/>
    <w:rsid w:val="00525BF9"/>
    <w:rsid w:val="00525D30"/>
    <w:rsid w:val="00525FB0"/>
    <w:rsid w:val="005268B0"/>
    <w:rsid w:val="00526DFB"/>
    <w:rsid w:val="00526F95"/>
    <w:rsid w:val="005273BE"/>
    <w:rsid w:val="00527937"/>
    <w:rsid w:val="005308D5"/>
    <w:rsid w:val="00531392"/>
    <w:rsid w:val="00531BD0"/>
    <w:rsid w:val="005329AB"/>
    <w:rsid w:val="005356F4"/>
    <w:rsid w:val="00535798"/>
    <w:rsid w:val="0053649F"/>
    <w:rsid w:val="005365AA"/>
    <w:rsid w:val="00537413"/>
    <w:rsid w:val="00537BF2"/>
    <w:rsid w:val="00540226"/>
    <w:rsid w:val="00541231"/>
    <w:rsid w:val="0054171D"/>
    <w:rsid w:val="00541E81"/>
    <w:rsid w:val="00541ECC"/>
    <w:rsid w:val="00542BCF"/>
    <w:rsid w:val="00544420"/>
    <w:rsid w:val="00545326"/>
    <w:rsid w:val="00546A55"/>
    <w:rsid w:val="005471B1"/>
    <w:rsid w:val="00552089"/>
    <w:rsid w:val="005529C4"/>
    <w:rsid w:val="00552CCC"/>
    <w:rsid w:val="00553046"/>
    <w:rsid w:val="005532FD"/>
    <w:rsid w:val="00553F74"/>
    <w:rsid w:val="005548BB"/>
    <w:rsid w:val="00554C03"/>
    <w:rsid w:val="00555870"/>
    <w:rsid w:val="0055751E"/>
    <w:rsid w:val="005623E9"/>
    <w:rsid w:val="0056331E"/>
    <w:rsid w:val="00564C18"/>
    <w:rsid w:val="00564D40"/>
    <w:rsid w:val="00564EC0"/>
    <w:rsid w:val="005667CE"/>
    <w:rsid w:val="005671B6"/>
    <w:rsid w:val="0056730B"/>
    <w:rsid w:val="0056750E"/>
    <w:rsid w:val="005677AD"/>
    <w:rsid w:val="00570E02"/>
    <w:rsid w:val="005718A8"/>
    <w:rsid w:val="00572324"/>
    <w:rsid w:val="005724D4"/>
    <w:rsid w:val="0057314C"/>
    <w:rsid w:val="00573364"/>
    <w:rsid w:val="00574DE4"/>
    <w:rsid w:val="00575D6A"/>
    <w:rsid w:val="005760CE"/>
    <w:rsid w:val="00577CE9"/>
    <w:rsid w:val="00577CFC"/>
    <w:rsid w:val="00580C1A"/>
    <w:rsid w:val="005834DE"/>
    <w:rsid w:val="00583BEB"/>
    <w:rsid w:val="00584267"/>
    <w:rsid w:val="00587129"/>
    <w:rsid w:val="00587B5E"/>
    <w:rsid w:val="00587CCF"/>
    <w:rsid w:val="005917C9"/>
    <w:rsid w:val="00591D3A"/>
    <w:rsid w:val="005926B1"/>
    <w:rsid w:val="00594DB6"/>
    <w:rsid w:val="005950A9"/>
    <w:rsid w:val="00596F20"/>
    <w:rsid w:val="005A00BF"/>
    <w:rsid w:val="005A05AF"/>
    <w:rsid w:val="005A1EFC"/>
    <w:rsid w:val="005A2D2C"/>
    <w:rsid w:val="005A40E5"/>
    <w:rsid w:val="005A5E62"/>
    <w:rsid w:val="005B0ADC"/>
    <w:rsid w:val="005B1EDF"/>
    <w:rsid w:val="005B2C70"/>
    <w:rsid w:val="005B38C3"/>
    <w:rsid w:val="005B3915"/>
    <w:rsid w:val="005B3A91"/>
    <w:rsid w:val="005B560F"/>
    <w:rsid w:val="005B5981"/>
    <w:rsid w:val="005B6F4A"/>
    <w:rsid w:val="005C2CC9"/>
    <w:rsid w:val="005C3207"/>
    <w:rsid w:val="005C420B"/>
    <w:rsid w:val="005C45DE"/>
    <w:rsid w:val="005C4F2E"/>
    <w:rsid w:val="005C5456"/>
    <w:rsid w:val="005C54AF"/>
    <w:rsid w:val="005C5A57"/>
    <w:rsid w:val="005C707D"/>
    <w:rsid w:val="005D1169"/>
    <w:rsid w:val="005D1A1F"/>
    <w:rsid w:val="005D2419"/>
    <w:rsid w:val="005D4DEF"/>
    <w:rsid w:val="005D5FB1"/>
    <w:rsid w:val="005D66F8"/>
    <w:rsid w:val="005E1A15"/>
    <w:rsid w:val="005E2029"/>
    <w:rsid w:val="005E2A6B"/>
    <w:rsid w:val="005E418B"/>
    <w:rsid w:val="005E4236"/>
    <w:rsid w:val="005E4567"/>
    <w:rsid w:val="005E48E7"/>
    <w:rsid w:val="005E50B6"/>
    <w:rsid w:val="005E7D5F"/>
    <w:rsid w:val="005F03B4"/>
    <w:rsid w:val="005F0E1C"/>
    <w:rsid w:val="005F253D"/>
    <w:rsid w:val="005F378D"/>
    <w:rsid w:val="005F3A64"/>
    <w:rsid w:val="005F42CC"/>
    <w:rsid w:val="005F4837"/>
    <w:rsid w:val="005F5691"/>
    <w:rsid w:val="005F6140"/>
    <w:rsid w:val="005F7E72"/>
    <w:rsid w:val="0060023C"/>
    <w:rsid w:val="00600397"/>
    <w:rsid w:val="00600AC1"/>
    <w:rsid w:val="00600E57"/>
    <w:rsid w:val="00601A81"/>
    <w:rsid w:val="00601D43"/>
    <w:rsid w:val="00603106"/>
    <w:rsid w:val="00603371"/>
    <w:rsid w:val="00605BF5"/>
    <w:rsid w:val="006073A0"/>
    <w:rsid w:val="00610403"/>
    <w:rsid w:val="0061095B"/>
    <w:rsid w:val="00610BB2"/>
    <w:rsid w:val="00611413"/>
    <w:rsid w:val="00611DA4"/>
    <w:rsid w:val="00613B64"/>
    <w:rsid w:val="006144F9"/>
    <w:rsid w:val="00614A2A"/>
    <w:rsid w:val="0061555C"/>
    <w:rsid w:val="00615600"/>
    <w:rsid w:val="00616204"/>
    <w:rsid w:val="0061685C"/>
    <w:rsid w:val="00616ABD"/>
    <w:rsid w:val="00616FD3"/>
    <w:rsid w:val="0061706F"/>
    <w:rsid w:val="00617613"/>
    <w:rsid w:val="00622377"/>
    <w:rsid w:val="00622A93"/>
    <w:rsid w:val="006237D5"/>
    <w:rsid w:val="0062434C"/>
    <w:rsid w:val="00624E2A"/>
    <w:rsid w:val="00625985"/>
    <w:rsid w:val="00626127"/>
    <w:rsid w:val="00626759"/>
    <w:rsid w:val="0062677A"/>
    <w:rsid w:val="0062701E"/>
    <w:rsid w:val="006278C6"/>
    <w:rsid w:val="00630A79"/>
    <w:rsid w:val="00632316"/>
    <w:rsid w:val="0063268E"/>
    <w:rsid w:val="00633022"/>
    <w:rsid w:val="00635270"/>
    <w:rsid w:val="006363E2"/>
    <w:rsid w:val="00636B5F"/>
    <w:rsid w:val="0064044D"/>
    <w:rsid w:val="0064048C"/>
    <w:rsid w:val="00640BA3"/>
    <w:rsid w:val="00640D17"/>
    <w:rsid w:val="006419FD"/>
    <w:rsid w:val="0064228D"/>
    <w:rsid w:val="006432EC"/>
    <w:rsid w:val="00644849"/>
    <w:rsid w:val="006467E0"/>
    <w:rsid w:val="00647FB0"/>
    <w:rsid w:val="00650E79"/>
    <w:rsid w:val="00650EAC"/>
    <w:rsid w:val="00651CC5"/>
    <w:rsid w:val="006528B2"/>
    <w:rsid w:val="00653400"/>
    <w:rsid w:val="00653D7D"/>
    <w:rsid w:val="00654AD3"/>
    <w:rsid w:val="00655760"/>
    <w:rsid w:val="00655804"/>
    <w:rsid w:val="0065612C"/>
    <w:rsid w:val="00656F68"/>
    <w:rsid w:val="006629F2"/>
    <w:rsid w:val="00662CA8"/>
    <w:rsid w:val="006632EB"/>
    <w:rsid w:val="006633CC"/>
    <w:rsid w:val="006671D0"/>
    <w:rsid w:val="006678FA"/>
    <w:rsid w:val="00667C2D"/>
    <w:rsid w:val="00670860"/>
    <w:rsid w:val="00670D66"/>
    <w:rsid w:val="006711FC"/>
    <w:rsid w:val="00672D68"/>
    <w:rsid w:val="00672D75"/>
    <w:rsid w:val="00675041"/>
    <w:rsid w:val="0067611C"/>
    <w:rsid w:val="00681C6C"/>
    <w:rsid w:val="00682650"/>
    <w:rsid w:val="00683042"/>
    <w:rsid w:val="00686D48"/>
    <w:rsid w:val="006878AE"/>
    <w:rsid w:val="00687CCA"/>
    <w:rsid w:val="00687CD6"/>
    <w:rsid w:val="006901E2"/>
    <w:rsid w:val="006919DF"/>
    <w:rsid w:val="006942CA"/>
    <w:rsid w:val="0069432D"/>
    <w:rsid w:val="00694EA5"/>
    <w:rsid w:val="006974F4"/>
    <w:rsid w:val="006975D9"/>
    <w:rsid w:val="006A0607"/>
    <w:rsid w:val="006A0FC3"/>
    <w:rsid w:val="006A2862"/>
    <w:rsid w:val="006A477C"/>
    <w:rsid w:val="006A73AE"/>
    <w:rsid w:val="006A7612"/>
    <w:rsid w:val="006A7FB6"/>
    <w:rsid w:val="006B0EBC"/>
    <w:rsid w:val="006B0FF3"/>
    <w:rsid w:val="006B17F9"/>
    <w:rsid w:val="006B2944"/>
    <w:rsid w:val="006B2AB2"/>
    <w:rsid w:val="006B477E"/>
    <w:rsid w:val="006B5129"/>
    <w:rsid w:val="006B5185"/>
    <w:rsid w:val="006B542E"/>
    <w:rsid w:val="006B5B1C"/>
    <w:rsid w:val="006B608B"/>
    <w:rsid w:val="006B6862"/>
    <w:rsid w:val="006B6BE2"/>
    <w:rsid w:val="006B773D"/>
    <w:rsid w:val="006B7F65"/>
    <w:rsid w:val="006C08B1"/>
    <w:rsid w:val="006C1D55"/>
    <w:rsid w:val="006C1EAA"/>
    <w:rsid w:val="006C2445"/>
    <w:rsid w:val="006C3BCC"/>
    <w:rsid w:val="006C40C9"/>
    <w:rsid w:val="006C47D3"/>
    <w:rsid w:val="006C4AD2"/>
    <w:rsid w:val="006C60D8"/>
    <w:rsid w:val="006C6AE3"/>
    <w:rsid w:val="006C6D09"/>
    <w:rsid w:val="006C6FBD"/>
    <w:rsid w:val="006C7101"/>
    <w:rsid w:val="006C7F57"/>
    <w:rsid w:val="006D1002"/>
    <w:rsid w:val="006D1A83"/>
    <w:rsid w:val="006D2E13"/>
    <w:rsid w:val="006D492A"/>
    <w:rsid w:val="006D6D9F"/>
    <w:rsid w:val="006D7A4A"/>
    <w:rsid w:val="006D7F82"/>
    <w:rsid w:val="006E29D1"/>
    <w:rsid w:val="006E2EB6"/>
    <w:rsid w:val="006E40AD"/>
    <w:rsid w:val="006E4495"/>
    <w:rsid w:val="006E5B8C"/>
    <w:rsid w:val="006E5F52"/>
    <w:rsid w:val="006E5F77"/>
    <w:rsid w:val="006E5FC9"/>
    <w:rsid w:val="006E628C"/>
    <w:rsid w:val="006E7349"/>
    <w:rsid w:val="006E7C79"/>
    <w:rsid w:val="006F092C"/>
    <w:rsid w:val="006F0F65"/>
    <w:rsid w:val="006F13C6"/>
    <w:rsid w:val="006F1712"/>
    <w:rsid w:val="006F20F6"/>
    <w:rsid w:val="006F3857"/>
    <w:rsid w:val="006F5BCB"/>
    <w:rsid w:val="006F5C61"/>
    <w:rsid w:val="006F717F"/>
    <w:rsid w:val="007014FE"/>
    <w:rsid w:val="00702445"/>
    <w:rsid w:val="0070257A"/>
    <w:rsid w:val="00702D20"/>
    <w:rsid w:val="00702E1E"/>
    <w:rsid w:val="00703772"/>
    <w:rsid w:val="00705259"/>
    <w:rsid w:val="007057D2"/>
    <w:rsid w:val="00707906"/>
    <w:rsid w:val="00711D8B"/>
    <w:rsid w:val="00713507"/>
    <w:rsid w:val="0071432B"/>
    <w:rsid w:val="00716206"/>
    <w:rsid w:val="00717764"/>
    <w:rsid w:val="00721401"/>
    <w:rsid w:val="007224B3"/>
    <w:rsid w:val="007245B3"/>
    <w:rsid w:val="00724A87"/>
    <w:rsid w:val="0072707A"/>
    <w:rsid w:val="00727434"/>
    <w:rsid w:val="007303F2"/>
    <w:rsid w:val="00730499"/>
    <w:rsid w:val="00731377"/>
    <w:rsid w:val="00731486"/>
    <w:rsid w:val="0073217F"/>
    <w:rsid w:val="0073233C"/>
    <w:rsid w:val="00732561"/>
    <w:rsid w:val="00734FE3"/>
    <w:rsid w:val="00735A9F"/>
    <w:rsid w:val="00736004"/>
    <w:rsid w:val="00736BD6"/>
    <w:rsid w:val="00740106"/>
    <w:rsid w:val="00741E9A"/>
    <w:rsid w:val="00742DF4"/>
    <w:rsid w:val="00742E1E"/>
    <w:rsid w:val="00744704"/>
    <w:rsid w:val="00746604"/>
    <w:rsid w:val="0074681A"/>
    <w:rsid w:val="00747298"/>
    <w:rsid w:val="007475FF"/>
    <w:rsid w:val="00750CFC"/>
    <w:rsid w:val="00750EA9"/>
    <w:rsid w:val="00750EB6"/>
    <w:rsid w:val="0075293A"/>
    <w:rsid w:val="00752F5A"/>
    <w:rsid w:val="00754A43"/>
    <w:rsid w:val="007559DD"/>
    <w:rsid w:val="00756017"/>
    <w:rsid w:val="00757015"/>
    <w:rsid w:val="007612EA"/>
    <w:rsid w:val="00761AB4"/>
    <w:rsid w:val="00765A54"/>
    <w:rsid w:val="00766E55"/>
    <w:rsid w:val="0076783E"/>
    <w:rsid w:val="00770D56"/>
    <w:rsid w:val="00770EC0"/>
    <w:rsid w:val="00770F46"/>
    <w:rsid w:val="0077160A"/>
    <w:rsid w:val="00772344"/>
    <w:rsid w:val="00772438"/>
    <w:rsid w:val="007728D0"/>
    <w:rsid w:val="00773110"/>
    <w:rsid w:val="00773D74"/>
    <w:rsid w:val="00774618"/>
    <w:rsid w:val="00774FA8"/>
    <w:rsid w:val="00780651"/>
    <w:rsid w:val="007848B5"/>
    <w:rsid w:val="00790EC7"/>
    <w:rsid w:val="007923A8"/>
    <w:rsid w:val="007936AF"/>
    <w:rsid w:val="00793B24"/>
    <w:rsid w:val="00795297"/>
    <w:rsid w:val="00795961"/>
    <w:rsid w:val="0079629A"/>
    <w:rsid w:val="007968C8"/>
    <w:rsid w:val="00796C48"/>
    <w:rsid w:val="00796E55"/>
    <w:rsid w:val="007A04B3"/>
    <w:rsid w:val="007A145B"/>
    <w:rsid w:val="007A1F88"/>
    <w:rsid w:val="007A2B14"/>
    <w:rsid w:val="007A2B75"/>
    <w:rsid w:val="007A3AA0"/>
    <w:rsid w:val="007A515A"/>
    <w:rsid w:val="007A6B62"/>
    <w:rsid w:val="007A7547"/>
    <w:rsid w:val="007B0CC9"/>
    <w:rsid w:val="007B1371"/>
    <w:rsid w:val="007B155E"/>
    <w:rsid w:val="007B1F23"/>
    <w:rsid w:val="007B25C8"/>
    <w:rsid w:val="007B352B"/>
    <w:rsid w:val="007B41DD"/>
    <w:rsid w:val="007B4B1A"/>
    <w:rsid w:val="007B4EF1"/>
    <w:rsid w:val="007B59AE"/>
    <w:rsid w:val="007B5C59"/>
    <w:rsid w:val="007B5CED"/>
    <w:rsid w:val="007B6148"/>
    <w:rsid w:val="007C10E3"/>
    <w:rsid w:val="007C1A6D"/>
    <w:rsid w:val="007C246D"/>
    <w:rsid w:val="007C2FC0"/>
    <w:rsid w:val="007C361C"/>
    <w:rsid w:val="007C3FF9"/>
    <w:rsid w:val="007C4CAF"/>
    <w:rsid w:val="007C54C1"/>
    <w:rsid w:val="007C6449"/>
    <w:rsid w:val="007C65A3"/>
    <w:rsid w:val="007C67FC"/>
    <w:rsid w:val="007D1992"/>
    <w:rsid w:val="007D44C9"/>
    <w:rsid w:val="007D49D0"/>
    <w:rsid w:val="007D4BC2"/>
    <w:rsid w:val="007D4F7F"/>
    <w:rsid w:val="007D6C9F"/>
    <w:rsid w:val="007D7892"/>
    <w:rsid w:val="007D7A62"/>
    <w:rsid w:val="007E3153"/>
    <w:rsid w:val="007E540C"/>
    <w:rsid w:val="007E5BF3"/>
    <w:rsid w:val="007E65C0"/>
    <w:rsid w:val="007E6659"/>
    <w:rsid w:val="007E7F1A"/>
    <w:rsid w:val="007F0DB4"/>
    <w:rsid w:val="007F2146"/>
    <w:rsid w:val="007F3FBA"/>
    <w:rsid w:val="007F4DC2"/>
    <w:rsid w:val="007F52AF"/>
    <w:rsid w:val="007F5644"/>
    <w:rsid w:val="0080143D"/>
    <w:rsid w:val="008024E9"/>
    <w:rsid w:val="00803D38"/>
    <w:rsid w:val="008044C2"/>
    <w:rsid w:val="00804BB4"/>
    <w:rsid w:val="00806188"/>
    <w:rsid w:val="00807CC2"/>
    <w:rsid w:val="00810872"/>
    <w:rsid w:val="008119DA"/>
    <w:rsid w:val="00812420"/>
    <w:rsid w:val="008130C8"/>
    <w:rsid w:val="00813156"/>
    <w:rsid w:val="00815F46"/>
    <w:rsid w:val="00816A50"/>
    <w:rsid w:val="008203B7"/>
    <w:rsid w:val="00821E12"/>
    <w:rsid w:val="00822790"/>
    <w:rsid w:val="00824294"/>
    <w:rsid w:val="00824436"/>
    <w:rsid w:val="008262D6"/>
    <w:rsid w:val="008265FD"/>
    <w:rsid w:val="00826A81"/>
    <w:rsid w:val="00826B91"/>
    <w:rsid w:val="00827695"/>
    <w:rsid w:val="00830437"/>
    <w:rsid w:val="00831F71"/>
    <w:rsid w:val="008320BE"/>
    <w:rsid w:val="0083346F"/>
    <w:rsid w:val="00833B1B"/>
    <w:rsid w:val="00834674"/>
    <w:rsid w:val="00834E10"/>
    <w:rsid w:val="0083510D"/>
    <w:rsid w:val="008361A6"/>
    <w:rsid w:val="00836E4B"/>
    <w:rsid w:val="0084024E"/>
    <w:rsid w:val="008403F5"/>
    <w:rsid w:val="00841BD8"/>
    <w:rsid w:val="008438FA"/>
    <w:rsid w:val="00843E90"/>
    <w:rsid w:val="00846B6E"/>
    <w:rsid w:val="00846E19"/>
    <w:rsid w:val="00847630"/>
    <w:rsid w:val="00851A67"/>
    <w:rsid w:val="00851F95"/>
    <w:rsid w:val="00852261"/>
    <w:rsid w:val="00852383"/>
    <w:rsid w:val="008534DE"/>
    <w:rsid w:val="00855009"/>
    <w:rsid w:val="0085610C"/>
    <w:rsid w:val="00856928"/>
    <w:rsid w:val="00857125"/>
    <w:rsid w:val="008576AB"/>
    <w:rsid w:val="008608E7"/>
    <w:rsid w:val="00860C57"/>
    <w:rsid w:val="0086131F"/>
    <w:rsid w:val="008615AC"/>
    <w:rsid w:val="00862164"/>
    <w:rsid w:val="008623A6"/>
    <w:rsid w:val="00862810"/>
    <w:rsid w:val="00862BF1"/>
    <w:rsid w:val="00863427"/>
    <w:rsid w:val="00864B63"/>
    <w:rsid w:val="00864B86"/>
    <w:rsid w:val="0086730C"/>
    <w:rsid w:val="00867F2C"/>
    <w:rsid w:val="008715D2"/>
    <w:rsid w:val="00872D62"/>
    <w:rsid w:val="00876722"/>
    <w:rsid w:val="00877A51"/>
    <w:rsid w:val="00877AEE"/>
    <w:rsid w:val="00877EC6"/>
    <w:rsid w:val="008802C3"/>
    <w:rsid w:val="008808C2"/>
    <w:rsid w:val="00882855"/>
    <w:rsid w:val="008828A6"/>
    <w:rsid w:val="00882A2D"/>
    <w:rsid w:val="00882C74"/>
    <w:rsid w:val="00883A46"/>
    <w:rsid w:val="00884242"/>
    <w:rsid w:val="008844F6"/>
    <w:rsid w:val="00884FDA"/>
    <w:rsid w:val="008850D7"/>
    <w:rsid w:val="008874BD"/>
    <w:rsid w:val="00887893"/>
    <w:rsid w:val="00887B93"/>
    <w:rsid w:val="00887F25"/>
    <w:rsid w:val="0089108E"/>
    <w:rsid w:val="00891C0A"/>
    <w:rsid w:val="00894517"/>
    <w:rsid w:val="00894F44"/>
    <w:rsid w:val="00895701"/>
    <w:rsid w:val="0089650B"/>
    <w:rsid w:val="00896BBF"/>
    <w:rsid w:val="00897039"/>
    <w:rsid w:val="008A08BE"/>
    <w:rsid w:val="008A1622"/>
    <w:rsid w:val="008A23E4"/>
    <w:rsid w:val="008A2B3B"/>
    <w:rsid w:val="008A3F3C"/>
    <w:rsid w:val="008A60D3"/>
    <w:rsid w:val="008A623C"/>
    <w:rsid w:val="008A745C"/>
    <w:rsid w:val="008B0BA8"/>
    <w:rsid w:val="008B12FE"/>
    <w:rsid w:val="008B27B1"/>
    <w:rsid w:val="008B34FE"/>
    <w:rsid w:val="008B4534"/>
    <w:rsid w:val="008B478D"/>
    <w:rsid w:val="008B630E"/>
    <w:rsid w:val="008B7B0D"/>
    <w:rsid w:val="008C06DD"/>
    <w:rsid w:val="008C0E99"/>
    <w:rsid w:val="008C27BF"/>
    <w:rsid w:val="008C2B75"/>
    <w:rsid w:val="008C62A0"/>
    <w:rsid w:val="008C70B1"/>
    <w:rsid w:val="008D0AB8"/>
    <w:rsid w:val="008D2A28"/>
    <w:rsid w:val="008D40E3"/>
    <w:rsid w:val="008D4980"/>
    <w:rsid w:val="008D4B55"/>
    <w:rsid w:val="008D5AA4"/>
    <w:rsid w:val="008D79CF"/>
    <w:rsid w:val="008D7FBA"/>
    <w:rsid w:val="008E12E3"/>
    <w:rsid w:val="008E15A5"/>
    <w:rsid w:val="008E2AEA"/>
    <w:rsid w:val="008E30FC"/>
    <w:rsid w:val="008E4B04"/>
    <w:rsid w:val="008E501B"/>
    <w:rsid w:val="008E5D0C"/>
    <w:rsid w:val="008E6B2A"/>
    <w:rsid w:val="008E79AB"/>
    <w:rsid w:val="008F0AF1"/>
    <w:rsid w:val="008F120A"/>
    <w:rsid w:val="008F1239"/>
    <w:rsid w:val="008F172F"/>
    <w:rsid w:val="008F234D"/>
    <w:rsid w:val="008F2904"/>
    <w:rsid w:val="008F2AA8"/>
    <w:rsid w:val="008F5F27"/>
    <w:rsid w:val="008F7382"/>
    <w:rsid w:val="008F778E"/>
    <w:rsid w:val="008F7F83"/>
    <w:rsid w:val="00900B8B"/>
    <w:rsid w:val="00902B44"/>
    <w:rsid w:val="009030ED"/>
    <w:rsid w:val="009032C3"/>
    <w:rsid w:val="00903EB8"/>
    <w:rsid w:val="00904F17"/>
    <w:rsid w:val="00907D42"/>
    <w:rsid w:val="0091026C"/>
    <w:rsid w:val="009107DC"/>
    <w:rsid w:val="00911B12"/>
    <w:rsid w:val="00911D42"/>
    <w:rsid w:val="00913059"/>
    <w:rsid w:val="00915E0F"/>
    <w:rsid w:val="0091616A"/>
    <w:rsid w:val="00917BD9"/>
    <w:rsid w:val="0092176E"/>
    <w:rsid w:val="00921875"/>
    <w:rsid w:val="00921B2A"/>
    <w:rsid w:val="00922686"/>
    <w:rsid w:val="00922D5B"/>
    <w:rsid w:val="00923370"/>
    <w:rsid w:val="00924539"/>
    <w:rsid w:val="00924D8C"/>
    <w:rsid w:val="00925C55"/>
    <w:rsid w:val="009274EA"/>
    <w:rsid w:val="009277CD"/>
    <w:rsid w:val="00927D16"/>
    <w:rsid w:val="009302A7"/>
    <w:rsid w:val="00932474"/>
    <w:rsid w:val="00932844"/>
    <w:rsid w:val="00932D75"/>
    <w:rsid w:val="00933028"/>
    <w:rsid w:val="0093318D"/>
    <w:rsid w:val="009341E1"/>
    <w:rsid w:val="0093469F"/>
    <w:rsid w:val="00934AAE"/>
    <w:rsid w:val="00935D86"/>
    <w:rsid w:val="009372C6"/>
    <w:rsid w:val="009375AA"/>
    <w:rsid w:val="00940218"/>
    <w:rsid w:val="00940558"/>
    <w:rsid w:val="00940787"/>
    <w:rsid w:val="00942322"/>
    <w:rsid w:val="00942807"/>
    <w:rsid w:val="00943C7C"/>
    <w:rsid w:val="00944257"/>
    <w:rsid w:val="00944AA2"/>
    <w:rsid w:val="00944EF7"/>
    <w:rsid w:val="00947208"/>
    <w:rsid w:val="00950D56"/>
    <w:rsid w:val="00951A17"/>
    <w:rsid w:val="00952BB0"/>
    <w:rsid w:val="00952D55"/>
    <w:rsid w:val="00953180"/>
    <w:rsid w:val="0095480B"/>
    <w:rsid w:val="00954857"/>
    <w:rsid w:val="00955EED"/>
    <w:rsid w:val="00956536"/>
    <w:rsid w:val="009608E5"/>
    <w:rsid w:val="009610AC"/>
    <w:rsid w:val="00961423"/>
    <w:rsid w:val="00961743"/>
    <w:rsid w:val="00961D47"/>
    <w:rsid w:val="00962736"/>
    <w:rsid w:val="0096277A"/>
    <w:rsid w:val="009642EA"/>
    <w:rsid w:val="00964BD9"/>
    <w:rsid w:val="0096514A"/>
    <w:rsid w:val="009711A6"/>
    <w:rsid w:val="00971356"/>
    <w:rsid w:val="0097197B"/>
    <w:rsid w:val="00971E2C"/>
    <w:rsid w:val="009740D2"/>
    <w:rsid w:val="00974283"/>
    <w:rsid w:val="00977402"/>
    <w:rsid w:val="0098160E"/>
    <w:rsid w:val="009827F3"/>
    <w:rsid w:val="00983DF6"/>
    <w:rsid w:val="00984953"/>
    <w:rsid w:val="00984E2E"/>
    <w:rsid w:val="0098663D"/>
    <w:rsid w:val="009869EE"/>
    <w:rsid w:val="00986D93"/>
    <w:rsid w:val="00987533"/>
    <w:rsid w:val="009900B2"/>
    <w:rsid w:val="0099182E"/>
    <w:rsid w:val="00991BA2"/>
    <w:rsid w:val="00992B9B"/>
    <w:rsid w:val="00992C94"/>
    <w:rsid w:val="00992CC7"/>
    <w:rsid w:val="0099349C"/>
    <w:rsid w:val="00993960"/>
    <w:rsid w:val="009960BA"/>
    <w:rsid w:val="00997AFE"/>
    <w:rsid w:val="009A0888"/>
    <w:rsid w:val="009A3641"/>
    <w:rsid w:val="009A39E2"/>
    <w:rsid w:val="009A3E3C"/>
    <w:rsid w:val="009A422C"/>
    <w:rsid w:val="009A6794"/>
    <w:rsid w:val="009A6CA9"/>
    <w:rsid w:val="009A6D75"/>
    <w:rsid w:val="009A7B7C"/>
    <w:rsid w:val="009B0D3E"/>
    <w:rsid w:val="009B18B6"/>
    <w:rsid w:val="009B20BD"/>
    <w:rsid w:val="009B28A3"/>
    <w:rsid w:val="009B5549"/>
    <w:rsid w:val="009B6097"/>
    <w:rsid w:val="009B74F5"/>
    <w:rsid w:val="009C0CFE"/>
    <w:rsid w:val="009C116F"/>
    <w:rsid w:val="009C127B"/>
    <w:rsid w:val="009C1F8C"/>
    <w:rsid w:val="009C26B0"/>
    <w:rsid w:val="009C27E5"/>
    <w:rsid w:val="009C3B88"/>
    <w:rsid w:val="009C4B7F"/>
    <w:rsid w:val="009C595E"/>
    <w:rsid w:val="009C5B7B"/>
    <w:rsid w:val="009C69B0"/>
    <w:rsid w:val="009C74E6"/>
    <w:rsid w:val="009D0AA4"/>
    <w:rsid w:val="009D1693"/>
    <w:rsid w:val="009D2C1A"/>
    <w:rsid w:val="009D3D87"/>
    <w:rsid w:val="009D40AD"/>
    <w:rsid w:val="009D48B0"/>
    <w:rsid w:val="009D4CCC"/>
    <w:rsid w:val="009D4F57"/>
    <w:rsid w:val="009D62A1"/>
    <w:rsid w:val="009D63EE"/>
    <w:rsid w:val="009D6A7A"/>
    <w:rsid w:val="009E116D"/>
    <w:rsid w:val="009E20A2"/>
    <w:rsid w:val="009E332A"/>
    <w:rsid w:val="009E5F5F"/>
    <w:rsid w:val="009E6398"/>
    <w:rsid w:val="009F014A"/>
    <w:rsid w:val="009F1F2D"/>
    <w:rsid w:val="009F2EEB"/>
    <w:rsid w:val="009F71E1"/>
    <w:rsid w:val="009F797A"/>
    <w:rsid w:val="00A0054A"/>
    <w:rsid w:val="00A021ED"/>
    <w:rsid w:val="00A02F18"/>
    <w:rsid w:val="00A0391F"/>
    <w:rsid w:val="00A03FF0"/>
    <w:rsid w:val="00A07C4C"/>
    <w:rsid w:val="00A10E55"/>
    <w:rsid w:val="00A12320"/>
    <w:rsid w:val="00A140A0"/>
    <w:rsid w:val="00A164B4"/>
    <w:rsid w:val="00A17BCB"/>
    <w:rsid w:val="00A20570"/>
    <w:rsid w:val="00A20A5D"/>
    <w:rsid w:val="00A20D7A"/>
    <w:rsid w:val="00A218EB"/>
    <w:rsid w:val="00A22F43"/>
    <w:rsid w:val="00A23D03"/>
    <w:rsid w:val="00A26604"/>
    <w:rsid w:val="00A26AEE"/>
    <w:rsid w:val="00A2756F"/>
    <w:rsid w:val="00A27B1A"/>
    <w:rsid w:val="00A311FB"/>
    <w:rsid w:val="00A31886"/>
    <w:rsid w:val="00A342FC"/>
    <w:rsid w:val="00A35B4E"/>
    <w:rsid w:val="00A36DC9"/>
    <w:rsid w:val="00A36EF1"/>
    <w:rsid w:val="00A40B4A"/>
    <w:rsid w:val="00A418A7"/>
    <w:rsid w:val="00A43073"/>
    <w:rsid w:val="00A4570A"/>
    <w:rsid w:val="00A47F77"/>
    <w:rsid w:val="00A50FF9"/>
    <w:rsid w:val="00A51697"/>
    <w:rsid w:val="00A53692"/>
    <w:rsid w:val="00A54330"/>
    <w:rsid w:val="00A5453A"/>
    <w:rsid w:val="00A55389"/>
    <w:rsid w:val="00A5556F"/>
    <w:rsid w:val="00A561F1"/>
    <w:rsid w:val="00A566F4"/>
    <w:rsid w:val="00A56BE8"/>
    <w:rsid w:val="00A56DD7"/>
    <w:rsid w:val="00A5789F"/>
    <w:rsid w:val="00A6071B"/>
    <w:rsid w:val="00A60C12"/>
    <w:rsid w:val="00A61459"/>
    <w:rsid w:val="00A62AE1"/>
    <w:rsid w:val="00A62CFD"/>
    <w:rsid w:val="00A6492A"/>
    <w:rsid w:val="00A65B9D"/>
    <w:rsid w:val="00A66541"/>
    <w:rsid w:val="00A70ECE"/>
    <w:rsid w:val="00A73DFA"/>
    <w:rsid w:val="00A75527"/>
    <w:rsid w:val="00A75C63"/>
    <w:rsid w:val="00A75F00"/>
    <w:rsid w:val="00A76640"/>
    <w:rsid w:val="00A768A8"/>
    <w:rsid w:val="00A76FE1"/>
    <w:rsid w:val="00A77859"/>
    <w:rsid w:val="00A804D1"/>
    <w:rsid w:val="00A809F6"/>
    <w:rsid w:val="00A845A4"/>
    <w:rsid w:val="00A849DF"/>
    <w:rsid w:val="00A87496"/>
    <w:rsid w:val="00A90E8C"/>
    <w:rsid w:val="00A91BBD"/>
    <w:rsid w:val="00A92415"/>
    <w:rsid w:val="00A9352B"/>
    <w:rsid w:val="00A946CA"/>
    <w:rsid w:val="00A96FDA"/>
    <w:rsid w:val="00A97720"/>
    <w:rsid w:val="00AA130C"/>
    <w:rsid w:val="00AA319E"/>
    <w:rsid w:val="00AA364F"/>
    <w:rsid w:val="00AA3B56"/>
    <w:rsid w:val="00AA680B"/>
    <w:rsid w:val="00AA6895"/>
    <w:rsid w:val="00AB08B3"/>
    <w:rsid w:val="00AB1E88"/>
    <w:rsid w:val="00AB2361"/>
    <w:rsid w:val="00AB262A"/>
    <w:rsid w:val="00AB287D"/>
    <w:rsid w:val="00AB39E3"/>
    <w:rsid w:val="00AB3B40"/>
    <w:rsid w:val="00AB50BD"/>
    <w:rsid w:val="00AB5718"/>
    <w:rsid w:val="00AB6F57"/>
    <w:rsid w:val="00AC0785"/>
    <w:rsid w:val="00AC2275"/>
    <w:rsid w:val="00AC26DE"/>
    <w:rsid w:val="00AC5131"/>
    <w:rsid w:val="00AC54DA"/>
    <w:rsid w:val="00AC5A36"/>
    <w:rsid w:val="00AC5F5A"/>
    <w:rsid w:val="00AC7B00"/>
    <w:rsid w:val="00AD0391"/>
    <w:rsid w:val="00AD1B55"/>
    <w:rsid w:val="00AD2073"/>
    <w:rsid w:val="00AD27FB"/>
    <w:rsid w:val="00AD30A1"/>
    <w:rsid w:val="00AD39C9"/>
    <w:rsid w:val="00AE2666"/>
    <w:rsid w:val="00AE38D4"/>
    <w:rsid w:val="00AE3CE9"/>
    <w:rsid w:val="00AE602C"/>
    <w:rsid w:val="00AE644A"/>
    <w:rsid w:val="00AE6A5C"/>
    <w:rsid w:val="00AE7237"/>
    <w:rsid w:val="00AF07FD"/>
    <w:rsid w:val="00AF1074"/>
    <w:rsid w:val="00AF13CB"/>
    <w:rsid w:val="00AF1A46"/>
    <w:rsid w:val="00AF21F7"/>
    <w:rsid w:val="00AF2C38"/>
    <w:rsid w:val="00AF2FA4"/>
    <w:rsid w:val="00AF3808"/>
    <w:rsid w:val="00AF3881"/>
    <w:rsid w:val="00AF57E1"/>
    <w:rsid w:val="00AF6298"/>
    <w:rsid w:val="00AF6570"/>
    <w:rsid w:val="00AF70BF"/>
    <w:rsid w:val="00AF728C"/>
    <w:rsid w:val="00AF77F7"/>
    <w:rsid w:val="00B00232"/>
    <w:rsid w:val="00B0066D"/>
    <w:rsid w:val="00B01452"/>
    <w:rsid w:val="00B0180B"/>
    <w:rsid w:val="00B02B62"/>
    <w:rsid w:val="00B04CEF"/>
    <w:rsid w:val="00B07886"/>
    <w:rsid w:val="00B119F2"/>
    <w:rsid w:val="00B12060"/>
    <w:rsid w:val="00B12095"/>
    <w:rsid w:val="00B12D80"/>
    <w:rsid w:val="00B141EA"/>
    <w:rsid w:val="00B14FA1"/>
    <w:rsid w:val="00B15456"/>
    <w:rsid w:val="00B16085"/>
    <w:rsid w:val="00B2092D"/>
    <w:rsid w:val="00B228C8"/>
    <w:rsid w:val="00B22CE1"/>
    <w:rsid w:val="00B22E4A"/>
    <w:rsid w:val="00B232F7"/>
    <w:rsid w:val="00B243D5"/>
    <w:rsid w:val="00B25ADE"/>
    <w:rsid w:val="00B25E76"/>
    <w:rsid w:val="00B25E77"/>
    <w:rsid w:val="00B30266"/>
    <w:rsid w:val="00B3167D"/>
    <w:rsid w:val="00B31C2E"/>
    <w:rsid w:val="00B321CE"/>
    <w:rsid w:val="00B34684"/>
    <w:rsid w:val="00B347E8"/>
    <w:rsid w:val="00B34861"/>
    <w:rsid w:val="00B34A26"/>
    <w:rsid w:val="00B35636"/>
    <w:rsid w:val="00B41EE9"/>
    <w:rsid w:val="00B427C5"/>
    <w:rsid w:val="00B42D3F"/>
    <w:rsid w:val="00B43D7B"/>
    <w:rsid w:val="00B442AF"/>
    <w:rsid w:val="00B442B9"/>
    <w:rsid w:val="00B461CD"/>
    <w:rsid w:val="00B46947"/>
    <w:rsid w:val="00B471F0"/>
    <w:rsid w:val="00B47AB4"/>
    <w:rsid w:val="00B502A7"/>
    <w:rsid w:val="00B5041D"/>
    <w:rsid w:val="00B50529"/>
    <w:rsid w:val="00B527CD"/>
    <w:rsid w:val="00B53069"/>
    <w:rsid w:val="00B543CF"/>
    <w:rsid w:val="00B543E5"/>
    <w:rsid w:val="00B55426"/>
    <w:rsid w:val="00B55560"/>
    <w:rsid w:val="00B55823"/>
    <w:rsid w:val="00B55C62"/>
    <w:rsid w:val="00B560DD"/>
    <w:rsid w:val="00B5626E"/>
    <w:rsid w:val="00B61142"/>
    <w:rsid w:val="00B6144D"/>
    <w:rsid w:val="00B63235"/>
    <w:rsid w:val="00B633C1"/>
    <w:rsid w:val="00B6540E"/>
    <w:rsid w:val="00B6597A"/>
    <w:rsid w:val="00B661C3"/>
    <w:rsid w:val="00B6634A"/>
    <w:rsid w:val="00B6665A"/>
    <w:rsid w:val="00B66C1F"/>
    <w:rsid w:val="00B66E30"/>
    <w:rsid w:val="00B728CF"/>
    <w:rsid w:val="00B72BC1"/>
    <w:rsid w:val="00B73D56"/>
    <w:rsid w:val="00B73E25"/>
    <w:rsid w:val="00B74011"/>
    <w:rsid w:val="00B74105"/>
    <w:rsid w:val="00B743EA"/>
    <w:rsid w:val="00B7448E"/>
    <w:rsid w:val="00B748FF"/>
    <w:rsid w:val="00B751EE"/>
    <w:rsid w:val="00B752C1"/>
    <w:rsid w:val="00B7584E"/>
    <w:rsid w:val="00B75A7C"/>
    <w:rsid w:val="00B76C0C"/>
    <w:rsid w:val="00B76DD0"/>
    <w:rsid w:val="00B77AB5"/>
    <w:rsid w:val="00B80213"/>
    <w:rsid w:val="00B807DA"/>
    <w:rsid w:val="00B82C00"/>
    <w:rsid w:val="00B8746D"/>
    <w:rsid w:val="00B8790D"/>
    <w:rsid w:val="00B90736"/>
    <w:rsid w:val="00B9142D"/>
    <w:rsid w:val="00B9357F"/>
    <w:rsid w:val="00B940B3"/>
    <w:rsid w:val="00B94AA7"/>
    <w:rsid w:val="00B94C17"/>
    <w:rsid w:val="00B94DC3"/>
    <w:rsid w:val="00B95972"/>
    <w:rsid w:val="00B95F71"/>
    <w:rsid w:val="00B96D31"/>
    <w:rsid w:val="00B96E6C"/>
    <w:rsid w:val="00B9729E"/>
    <w:rsid w:val="00B978F8"/>
    <w:rsid w:val="00BA2EF4"/>
    <w:rsid w:val="00BA30AF"/>
    <w:rsid w:val="00BA458C"/>
    <w:rsid w:val="00BA5EEF"/>
    <w:rsid w:val="00BA6C50"/>
    <w:rsid w:val="00BB0356"/>
    <w:rsid w:val="00BB066D"/>
    <w:rsid w:val="00BB1466"/>
    <w:rsid w:val="00BB146E"/>
    <w:rsid w:val="00BB15F8"/>
    <w:rsid w:val="00BB1A6A"/>
    <w:rsid w:val="00BB2784"/>
    <w:rsid w:val="00BB343B"/>
    <w:rsid w:val="00BB4DB8"/>
    <w:rsid w:val="00BB4E72"/>
    <w:rsid w:val="00BB5A5B"/>
    <w:rsid w:val="00BB6543"/>
    <w:rsid w:val="00BB740A"/>
    <w:rsid w:val="00BC05EE"/>
    <w:rsid w:val="00BC16FD"/>
    <w:rsid w:val="00BC3964"/>
    <w:rsid w:val="00BD010A"/>
    <w:rsid w:val="00BD12F8"/>
    <w:rsid w:val="00BD2055"/>
    <w:rsid w:val="00BD5124"/>
    <w:rsid w:val="00BD68B2"/>
    <w:rsid w:val="00BD6D79"/>
    <w:rsid w:val="00BD74A0"/>
    <w:rsid w:val="00BD7EFB"/>
    <w:rsid w:val="00BE0DD4"/>
    <w:rsid w:val="00BE19D6"/>
    <w:rsid w:val="00BE293F"/>
    <w:rsid w:val="00BE582F"/>
    <w:rsid w:val="00BE6221"/>
    <w:rsid w:val="00BE6B56"/>
    <w:rsid w:val="00BF2409"/>
    <w:rsid w:val="00BF2962"/>
    <w:rsid w:val="00BF34D3"/>
    <w:rsid w:val="00BF3777"/>
    <w:rsid w:val="00BF4EDC"/>
    <w:rsid w:val="00BF5321"/>
    <w:rsid w:val="00BF731D"/>
    <w:rsid w:val="00C00C96"/>
    <w:rsid w:val="00C00D03"/>
    <w:rsid w:val="00C01A6C"/>
    <w:rsid w:val="00C01E03"/>
    <w:rsid w:val="00C01E5E"/>
    <w:rsid w:val="00C02137"/>
    <w:rsid w:val="00C02812"/>
    <w:rsid w:val="00C02C28"/>
    <w:rsid w:val="00C03992"/>
    <w:rsid w:val="00C04843"/>
    <w:rsid w:val="00C05EF6"/>
    <w:rsid w:val="00C07707"/>
    <w:rsid w:val="00C10558"/>
    <w:rsid w:val="00C132DA"/>
    <w:rsid w:val="00C13EE7"/>
    <w:rsid w:val="00C14F0D"/>
    <w:rsid w:val="00C14FD0"/>
    <w:rsid w:val="00C15E9B"/>
    <w:rsid w:val="00C17FEA"/>
    <w:rsid w:val="00C20E23"/>
    <w:rsid w:val="00C2179D"/>
    <w:rsid w:val="00C21B10"/>
    <w:rsid w:val="00C22623"/>
    <w:rsid w:val="00C241D9"/>
    <w:rsid w:val="00C261A7"/>
    <w:rsid w:val="00C27482"/>
    <w:rsid w:val="00C309CB"/>
    <w:rsid w:val="00C323FE"/>
    <w:rsid w:val="00C32590"/>
    <w:rsid w:val="00C337F2"/>
    <w:rsid w:val="00C33B4D"/>
    <w:rsid w:val="00C33E6A"/>
    <w:rsid w:val="00C33F6F"/>
    <w:rsid w:val="00C3419E"/>
    <w:rsid w:val="00C34F42"/>
    <w:rsid w:val="00C35692"/>
    <w:rsid w:val="00C366C9"/>
    <w:rsid w:val="00C36BDA"/>
    <w:rsid w:val="00C3736B"/>
    <w:rsid w:val="00C425D0"/>
    <w:rsid w:val="00C44C62"/>
    <w:rsid w:val="00C45524"/>
    <w:rsid w:val="00C46C5C"/>
    <w:rsid w:val="00C46F6E"/>
    <w:rsid w:val="00C46FA2"/>
    <w:rsid w:val="00C477DD"/>
    <w:rsid w:val="00C50969"/>
    <w:rsid w:val="00C5201D"/>
    <w:rsid w:val="00C52A07"/>
    <w:rsid w:val="00C530C6"/>
    <w:rsid w:val="00C53F73"/>
    <w:rsid w:val="00C543B2"/>
    <w:rsid w:val="00C5475B"/>
    <w:rsid w:val="00C55A35"/>
    <w:rsid w:val="00C55F13"/>
    <w:rsid w:val="00C57AB4"/>
    <w:rsid w:val="00C60A3B"/>
    <w:rsid w:val="00C610D3"/>
    <w:rsid w:val="00C61CE5"/>
    <w:rsid w:val="00C62C99"/>
    <w:rsid w:val="00C63E2C"/>
    <w:rsid w:val="00C64429"/>
    <w:rsid w:val="00C64F23"/>
    <w:rsid w:val="00C657A5"/>
    <w:rsid w:val="00C6586B"/>
    <w:rsid w:val="00C65C38"/>
    <w:rsid w:val="00C66016"/>
    <w:rsid w:val="00C676FB"/>
    <w:rsid w:val="00C677B2"/>
    <w:rsid w:val="00C70F43"/>
    <w:rsid w:val="00C731AD"/>
    <w:rsid w:val="00C737FA"/>
    <w:rsid w:val="00C7405B"/>
    <w:rsid w:val="00C74266"/>
    <w:rsid w:val="00C74BC9"/>
    <w:rsid w:val="00C74CD9"/>
    <w:rsid w:val="00C8173C"/>
    <w:rsid w:val="00C820C7"/>
    <w:rsid w:val="00C822F1"/>
    <w:rsid w:val="00C82472"/>
    <w:rsid w:val="00C838C5"/>
    <w:rsid w:val="00C83EB2"/>
    <w:rsid w:val="00C869E7"/>
    <w:rsid w:val="00C90713"/>
    <w:rsid w:val="00C912F3"/>
    <w:rsid w:val="00C91477"/>
    <w:rsid w:val="00C91B04"/>
    <w:rsid w:val="00C926CA"/>
    <w:rsid w:val="00C93068"/>
    <w:rsid w:val="00C93410"/>
    <w:rsid w:val="00C94775"/>
    <w:rsid w:val="00C948A7"/>
    <w:rsid w:val="00C955ED"/>
    <w:rsid w:val="00C95655"/>
    <w:rsid w:val="00CA0795"/>
    <w:rsid w:val="00CA2789"/>
    <w:rsid w:val="00CA41D1"/>
    <w:rsid w:val="00CA4E57"/>
    <w:rsid w:val="00CA54F0"/>
    <w:rsid w:val="00CA56D9"/>
    <w:rsid w:val="00CA5932"/>
    <w:rsid w:val="00CA5A07"/>
    <w:rsid w:val="00CA5F80"/>
    <w:rsid w:val="00CA616F"/>
    <w:rsid w:val="00CA763A"/>
    <w:rsid w:val="00CB0741"/>
    <w:rsid w:val="00CB086D"/>
    <w:rsid w:val="00CB2543"/>
    <w:rsid w:val="00CB2A84"/>
    <w:rsid w:val="00CB3204"/>
    <w:rsid w:val="00CB40CA"/>
    <w:rsid w:val="00CB46AC"/>
    <w:rsid w:val="00CB4CB5"/>
    <w:rsid w:val="00CB4D23"/>
    <w:rsid w:val="00CB5CC9"/>
    <w:rsid w:val="00CC0120"/>
    <w:rsid w:val="00CC2586"/>
    <w:rsid w:val="00CC3102"/>
    <w:rsid w:val="00CC4B5E"/>
    <w:rsid w:val="00CC6598"/>
    <w:rsid w:val="00CC78C4"/>
    <w:rsid w:val="00CC7942"/>
    <w:rsid w:val="00CD00E6"/>
    <w:rsid w:val="00CD04D2"/>
    <w:rsid w:val="00CD4896"/>
    <w:rsid w:val="00CD4B01"/>
    <w:rsid w:val="00CD4DCB"/>
    <w:rsid w:val="00CD56F6"/>
    <w:rsid w:val="00CD5CB9"/>
    <w:rsid w:val="00CD7E77"/>
    <w:rsid w:val="00CE143E"/>
    <w:rsid w:val="00CE3BA2"/>
    <w:rsid w:val="00CE3F6D"/>
    <w:rsid w:val="00CE3FD5"/>
    <w:rsid w:val="00CE4AA4"/>
    <w:rsid w:val="00CE5363"/>
    <w:rsid w:val="00CE5B15"/>
    <w:rsid w:val="00CE6B46"/>
    <w:rsid w:val="00CE7CED"/>
    <w:rsid w:val="00CE7DCA"/>
    <w:rsid w:val="00CF15A4"/>
    <w:rsid w:val="00CF22FD"/>
    <w:rsid w:val="00CF2D85"/>
    <w:rsid w:val="00CF33D0"/>
    <w:rsid w:val="00CF395C"/>
    <w:rsid w:val="00CF4528"/>
    <w:rsid w:val="00CF623A"/>
    <w:rsid w:val="00CF6345"/>
    <w:rsid w:val="00CF65EF"/>
    <w:rsid w:val="00D003A4"/>
    <w:rsid w:val="00D03300"/>
    <w:rsid w:val="00D039CC"/>
    <w:rsid w:val="00D03E2E"/>
    <w:rsid w:val="00D06C66"/>
    <w:rsid w:val="00D0722C"/>
    <w:rsid w:val="00D07C07"/>
    <w:rsid w:val="00D1016B"/>
    <w:rsid w:val="00D11162"/>
    <w:rsid w:val="00D14119"/>
    <w:rsid w:val="00D14BEE"/>
    <w:rsid w:val="00D15D8A"/>
    <w:rsid w:val="00D17F35"/>
    <w:rsid w:val="00D2114B"/>
    <w:rsid w:val="00D21A26"/>
    <w:rsid w:val="00D22788"/>
    <w:rsid w:val="00D234A5"/>
    <w:rsid w:val="00D242FC"/>
    <w:rsid w:val="00D24DDE"/>
    <w:rsid w:val="00D25908"/>
    <w:rsid w:val="00D25B2E"/>
    <w:rsid w:val="00D27C46"/>
    <w:rsid w:val="00D30246"/>
    <w:rsid w:val="00D30453"/>
    <w:rsid w:val="00D30BAA"/>
    <w:rsid w:val="00D30D98"/>
    <w:rsid w:val="00D32FCC"/>
    <w:rsid w:val="00D33685"/>
    <w:rsid w:val="00D34E99"/>
    <w:rsid w:val="00D35C4C"/>
    <w:rsid w:val="00D35D08"/>
    <w:rsid w:val="00D35DFD"/>
    <w:rsid w:val="00D373A9"/>
    <w:rsid w:val="00D376AA"/>
    <w:rsid w:val="00D37D5F"/>
    <w:rsid w:val="00D37F0F"/>
    <w:rsid w:val="00D41311"/>
    <w:rsid w:val="00D41857"/>
    <w:rsid w:val="00D42B78"/>
    <w:rsid w:val="00D434B6"/>
    <w:rsid w:val="00D4355E"/>
    <w:rsid w:val="00D453E6"/>
    <w:rsid w:val="00D4601A"/>
    <w:rsid w:val="00D4608A"/>
    <w:rsid w:val="00D47AA1"/>
    <w:rsid w:val="00D47CEA"/>
    <w:rsid w:val="00D52D6C"/>
    <w:rsid w:val="00D53476"/>
    <w:rsid w:val="00D542B1"/>
    <w:rsid w:val="00D54B53"/>
    <w:rsid w:val="00D55318"/>
    <w:rsid w:val="00D5571D"/>
    <w:rsid w:val="00D56500"/>
    <w:rsid w:val="00D570EF"/>
    <w:rsid w:val="00D5786F"/>
    <w:rsid w:val="00D57A6F"/>
    <w:rsid w:val="00D57EA9"/>
    <w:rsid w:val="00D610EC"/>
    <w:rsid w:val="00D61364"/>
    <w:rsid w:val="00D61B50"/>
    <w:rsid w:val="00D61C84"/>
    <w:rsid w:val="00D61FB4"/>
    <w:rsid w:val="00D639D9"/>
    <w:rsid w:val="00D64CA4"/>
    <w:rsid w:val="00D64CAB"/>
    <w:rsid w:val="00D65898"/>
    <w:rsid w:val="00D65AEE"/>
    <w:rsid w:val="00D66139"/>
    <w:rsid w:val="00D672F2"/>
    <w:rsid w:val="00D67C9B"/>
    <w:rsid w:val="00D70780"/>
    <w:rsid w:val="00D723FD"/>
    <w:rsid w:val="00D761A4"/>
    <w:rsid w:val="00D77A31"/>
    <w:rsid w:val="00D77E7B"/>
    <w:rsid w:val="00D8031B"/>
    <w:rsid w:val="00D815E0"/>
    <w:rsid w:val="00D82AED"/>
    <w:rsid w:val="00D83D18"/>
    <w:rsid w:val="00D846AC"/>
    <w:rsid w:val="00D848E3"/>
    <w:rsid w:val="00D854CB"/>
    <w:rsid w:val="00D857AA"/>
    <w:rsid w:val="00D85A41"/>
    <w:rsid w:val="00D867E3"/>
    <w:rsid w:val="00D903C8"/>
    <w:rsid w:val="00D90636"/>
    <w:rsid w:val="00D90EFD"/>
    <w:rsid w:val="00D9103D"/>
    <w:rsid w:val="00D911C0"/>
    <w:rsid w:val="00D9135B"/>
    <w:rsid w:val="00D92D25"/>
    <w:rsid w:val="00D938E7"/>
    <w:rsid w:val="00D93A1A"/>
    <w:rsid w:val="00D93D5A"/>
    <w:rsid w:val="00D94E8B"/>
    <w:rsid w:val="00D95EDF"/>
    <w:rsid w:val="00DA1B8E"/>
    <w:rsid w:val="00DA31D6"/>
    <w:rsid w:val="00DA390D"/>
    <w:rsid w:val="00DA47C2"/>
    <w:rsid w:val="00DA48A6"/>
    <w:rsid w:val="00DA5F39"/>
    <w:rsid w:val="00DA6230"/>
    <w:rsid w:val="00DA6CCC"/>
    <w:rsid w:val="00DA7D63"/>
    <w:rsid w:val="00DB0F83"/>
    <w:rsid w:val="00DB1EBB"/>
    <w:rsid w:val="00DB22DF"/>
    <w:rsid w:val="00DB3407"/>
    <w:rsid w:val="00DB382C"/>
    <w:rsid w:val="00DB5EEB"/>
    <w:rsid w:val="00DB7239"/>
    <w:rsid w:val="00DC178E"/>
    <w:rsid w:val="00DC3311"/>
    <w:rsid w:val="00DC365F"/>
    <w:rsid w:val="00DC3E3D"/>
    <w:rsid w:val="00DC6B76"/>
    <w:rsid w:val="00DD23C4"/>
    <w:rsid w:val="00DD306A"/>
    <w:rsid w:val="00DD3AE6"/>
    <w:rsid w:val="00DD4223"/>
    <w:rsid w:val="00DD46E3"/>
    <w:rsid w:val="00DD4D9C"/>
    <w:rsid w:val="00DD7000"/>
    <w:rsid w:val="00DE2E0F"/>
    <w:rsid w:val="00DE4BAF"/>
    <w:rsid w:val="00DE5FF9"/>
    <w:rsid w:val="00DE6A5A"/>
    <w:rsid w:val="00DF0378"/>
    <w:rsid w:val="00DF313C"/>
    <w:rsid w:val="00DF4B2F"/>
    <w:rsid w:val="00DF4B9E"/>
    <w:rsid w:val="00DF4C6B"/>
    <w:rsid w:val="00DF4CC7"/>
    <w:rsid w:val="00DF5207"/>
    <w:rsid w:val="00DF58D0"/>
    <w:rsid w:val="00DF5C16"/>
    <w:rsid w:val="00DF6356"/>
    <w:rsid w:val="00DF7734"/>
    <w:rsid w:val="00DF7A87"/>
    <w:rsid w:val="00E0150E"/>
    <w:rsid w:val="00E0385B"/>
    <w:rsid w:val="00E04B0F"/>
    <w:rsid w:val="00E058D8"/>
    <w:rsid w:val="00E06DEA"/>
    <w:rsid w:val="00E078AB"/>
    <w:rsid w:val="00E07C88"/>
    <w:rsid w:val="00E1010A"/>
    <w:rsid w:val="00E11B1E"/>
    <w:rsid w:val="00E11DC6"/>
    <w:rsid w:val="00E11F5D"/>
    <w:rsid w:val="00E12896"/>
    <w:rsid w:val="00E1724B"/>
    <w:rsid w:val="00E20157"/>
    <w:rsid w:val="00E20887"/>
    <w:rsid w:val="00E224C5"/>
    <w:rsid w:val="00E23AA5"/>
    <w:rsid w:val="00E251B5"/>
    <w:rsid w:val="00E25746"/>
    <w:rsid w:val="00E2614A"/>
    <w:rsid w:val="00E3387B"/>
    <w:rsid w:val="00E34C1D"/>
    <w:rsid w:val="00E3612F"/>
    <w:rsid w:val="00E40F9B"/>
    <w:rsid w:val="00E417DA"/>
    <w:rsid w:val="00E4185D"/>
    <w:rsid w:val="00E426B1"/>
    <w:rsid w:val="00E4414D"/>
    <w:rsid w:val="00E441A6"/>
    <w:rsid w:val="00E455C1"/>
    <w:rsid w:val="00E46120"/>
    <w:rsid w:val="00E4693B"/>
    <w:rsid w:val="00E47F58"/>
    <w:rsid w:val="00E47F5F"/>
    <w:rsid w:val="00E504ED"/>
    <w:rsid w:val="00E53A08"/>
    <w:rsid w:val="00E54A2D"/>
    <w:rsid w:val="00E54E44"/>
    <w:rsid w:val="00E577FC"/>
    <w:rsid w:val="00E60135"/>
    <w:rsid w:val="00E6577E"/>
    <w:rsid w:val="00E65CD1"/>
    <w:rsid w:val="00E65DAA"/>
    <w:rsid w:val="00E66DB5"/>
    <w:rsid w:val="00E67294"/>
    <w:rsid w:val="00E67615"/>
    <w:rsid w:val="00E67B9D"/>
    <w:rsid w:val="00E704B4"/>
    <w:rsid w:val="00E71AD3"/>
    <w:rsid w:val="00E72E37"/>
    <w:rsid w:val="00E73308"/>
    <w:rsid w:val="00E73442"/>
    <w:rsid w:val="00E746A8"/>
    <w:rsid w:val="00E749AA"/>
    <w:rsid w:val="00E74F7D"/>
    <w:rsid w:val="00E76546"/>
    <w:rsid w:val="00E769CA"/>
    <w:rsid w:val="00E76BEB"/>
    <w:rsid w:val="00E76C06"/>
    <w:rsid w:val="00E778D8"/>
    <w:rsid w:val="00E810AC"/>
    <w:rsid w:val="00E82D0F"/>
    <w:rsid w:val="00E85791"/>
    <w:rsid w:val="00E86C56"/>
    <w:rsid w:val="00E90E4A"/>
    <w:rsid w:val="00E92A34"/>
    <w:rsid w:val="00E94B46"/>
    <w:rsid w:val="00EA0BB9"/>
    <w:rsid w:val="00EA219B"/>
    <w:rsid w:val="00EA2276"/>
    <w:rsid w:val="00EA34E7"/>
    <w:rsid w:val="00EA4678"/>
    <w:rsid w:val="00EA5E93"/>
    <w:rsid w:val="00EB2698"/>
    <w:rsid w:val="00EB563F"/>
    <w:rsid w:val="00EB5C61"/>
    <w:rsid w:val="00EB6164"/>
    <w:rsid w:val="00EB6C8C"/>
    <w:rsid w:val="00EB7A38"/>
    <w:rsid w:val="00EC0823"/>
    <w:rsid w:val="00EC08C8"/>
    <w:rsid w:val="00EC0FDA"/>
    <w:rsid w:val="00EC2C91"/>
    <w:rsid w:val="00EC3274"/>
    <w:rsid w:val="00EC4FF9"/>
    <w:rsid w:val="00EC51D0"/>
    <w:rsid w:val="00EC5D7E"/>
    <w:rsid w:val="00EC60C7"/>
    <w:rsid w:val="00EC6BC9"/>
    <w:rsid w:val="00ED1231"/>
    <w:rsid w:val="00ED13FF"/>
    <w:rsid w:val="00ED212F"/>
    <w:rsid w:val="00ED3938"/>
    <w:rsid w:val="00ED5E21"/>
    <w:rsid w:val="00ED622A"/>
    <w:rsid w:val="00ED750E"/>
    <w:rsid w:val="00EE050A"/>
    <w:rsid w:val="00EE056A"/>
    <w:rsid w:val="00EE0C7A"/>
    <w:rsid w:val="00EE10EB"/>
    <w:rsid w:val="00EE116F"/>
    <w:rsid w:val="00EE156F"/>
    <w:rsid w:val="00EE510B"/>
    <w:rsid w:val="00EE591C"/>
    <w:rsid w:val="00EE5B68"/>
    <w:rsid w:val="00EE681F"/>
    <w:rsid w:val="00EF0390"/>
    <w:rsid w:val="00EF176F"/>
    <w:rsid w:val="00EF1EFE"/>
    <w:rsid w:val="00EF2D06"/>
    <w:rsid w:val="00EF69EB"/>
    <w:rsid w:val="00EF7D40"/>
    <w:rsid w:val="00F004B7"/>
    <w:rsid w:val="00F013E4"/>
    <w:rsid w:val="00F025A9"/>
    <w:rsid w:val="00F02C34"/>
    <w:rsid w:val="00F03393"/>
    <w:rsid w:val="00F03FEA"/>
    <w:rsid w:val="00F044F8"/>
    <w:rsid w:val="00F0678F"/>
    <w:rsid w:val="00F07C95"/>
    <w:rsid w:val="00F11573"/>
    <w:rsid w:val="00F12358"/>
    <w:rsid w:val="00F13E70"/>
    <w:rsid w:val="00F13EC3"/>
    <w:rsid w:val="00F14114"/>
    <w:rsid w:val="00F16306"/>
    <w:rsid w:val="00F20809"/>
    <w:rsid w:val="00F21088"/>
    <w:rsid w:val="00F21448"/>
    <w:rsid w:val="00F21A14"/>
    <w:rsid w:val="00F21A77"/>
    <w:rsid w:val="00F22B05"/>
    <w:rsid w:val="00F236E8"/>
    <w:rsid w:val="00F23A97"/>
    <w:rsid w:val="00F23C57"/>
    <w:rsid w:val="00F23ED0"/>
    <w:rsid w:val="00F267FD"/>
    <w:rsid w:val="00F2690B"/>
    <w:rsid w:val="00F26E6D"/>
    <w:rsid w:val="00F27597"/>
    <w:rsid w:val="00F301E4"/>
    <w:rsid w:val="00F30607"/>
    <w:rsid w:val="00F30E1F"/>
    <w:rsid w:val="00F3533F"/>
    <w:rsid w:val="00F35B06"/>
    <w:rsid w:val="00F36815"/>
    <w:rsid w:val="00F36DCA"/>
    <w:rsid w:val="00F371C8"/>
    <w:rsid w:val="00F3783C"/>
    <w:rsid w:val="00F41CB0"/>
    <w:rsid w:val="00F42C03"/>
    <w:rsid w:val="00F42E92"/>
    <w:rsid w:val="00F43F2C"/>
    <w:rsid w:val="00F440E2"/>
    <w:rsid w:val="00F44B94"/>
    <w:rsid w:val="00F467A6"/>
    <w:rsid w:val="00F47B60"/>
    <w:rsid w:val="00F5066E"/>
    <w:rsid w:val="00F50BCA"/>
    <w:rsid w:val="00F53347"/>
    <w:rsid w:val="00F5364C"/>
    <w:rsid w:val="00F54615"/>
    <w:rsid w:val="00F55A3D"/>
    <w:rsid w:val="00F60891"/>
    <w:rsid w:val="00F60AE8"/>
    <w:rsid w:val="00F626AE"/>
    <w:rsid w:val="00F62E22"/>
    <w:rsid w:val="00F6387B"/>
    <w:rsid w:val="00F646ED"/>
    <w:rsid w:val="00F656E4"/>
    <w:rsid w:val="00F6726C"/>
    <w:rsid w:val="00F67E7F"/>
    <w:rsid w:val="00F70159"/>
    <w:rsid w:val="00F7048B"/>
    <w:rsid w:val="00F7252C"/>
    <w:rsid w:val="00F729A5"/>
    <w:rsid w:val="00F72D03"/>
    <w:rsid w:val="00F74442"/>
    <w:rsid w:val="00F75FF7"/>
    <w:rsid w:val="00F77603"/>
    <w:rsid w:val="00F80C8E"/>
    <w:rsid w:val="00F81F43"/>
    <w:rsid w:val="00F825F6"/>
    <w:rsid w:val="00F8287B"/>
    <w:rsid w:val="00F84033"/>
    <w:rsid w:val="00F845E1"/>
    <w:rsid w:val="00F84BE6"/>
    <w:rsid w:val="00F85459"/>
    <w:rsid w:val="00F9142D"/>
    <w:rsid w:val="00F94169"/>
    <w:rsid w:val="00F94697"/>
    <w:rsid w:val="00F9476D"/>
    <w:rsid w:val="00F97A5A"/>
    <w:rsid w:val="00FA314A"/>
    <w:rsid w:val="00FA49BB"/>
    <w:rsid w:val="00FA56F1"/>
    <w:rsid w:val="00FB0E52"/>
    <w:rsid w:val="00FB10CA"/>
    <w:rsid w:val="00FB40C9"/>
    <w:rsid w:val="00FB647F"/>
    <w:rsid w:val="00FB67D2"/>
    <w:rsid w:val="00FC374A"/>
    <w:rsid w:val="00FC4996"/>
    <w:rsid w:val="00FC4E7E"/>
    <w:rsid w:val="00FC4EA9"/>
    <w:rsid w:val="00FD1288"/>
    <w:rsid w:val="00FD2C32"/>
    <w:rsid w:val="00FD3629"/>
    <w:rsid w:val="00FD36A2"/>
    <w:rsid w:val="00FD3B73"/>
    <w:rsid w:val="00FD3CDA"/>
    <w:rsid w:val="00FD403D"/>
    <w:rsid w:val="00FD487D"/>
    <w:rsid w:val="00FD4B20"/>
    <w:rsid w:val="00FD6D55"/>
    <w:rsid w:val="00FD6DF8"/>
    <w:rsid w:val="00FD70FB"/>
    <w:rsid w:val="00FD74EF"/>
    <w:rsid w:val="00FD79C6"/>
    <w:rsid w:val="00FE00A8"/>
    <w:rsid w:val="00FE1A9D"/>
    <w:rsid w:val="00FE1B2A"/>
    <w:rsid w:val="00FE1DF3"/>
    <w:rsid w:val="00FE2315"/>
    <w:rsid w:val="00FE27F5"/>
    <w:rsid w:val="00FE39D0"/>
    <w:rsid w:val="00FE3EDD"/>
    <w:rsid w:val="00FE664F"/>
    <w:rsid w:val="00FE6F0F"/>
    <w:rsid w:val="00FE797E"/>
    <w:rsid w:val="00FF0423"/>
    <w:rsid w:val="00FF0E94"/>
    <w:rsid w:val="00FF119B"/>
    <w:rsid w:val="00FF2920"/>
    <w:rsid w:val="00FF3F7A"/>
    <w:rsid w:val="00FF4815"/>
    <w:rsid w:val="00FF4F67"/>
    <w:rsid w:val="00FF5AC0"/>
    <w:rsid w:val="00FF649B"/>
    <w:rsid w:val="00FF7E70"/>
    <w:rsid w:val="00FF7E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0529"/>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12358"/>
    <w:pPr>
      <w:ind w:left="720"/>
      <w:contextualSpacing/>
    </w:pPr>
  </w:style>
  <w:style w:type="paragraph" w:styleId="Voetnoottekst">
    <w:name w:val="footnote text"/>
    <w:basedOn w:val="Standaard"/>
    <w:link w:val="VoetnoottekstChar"/>
    <w:uiPriority w:val="99"/>
    <w:unhideWhenUsed/>
    <w:rsid w:val="00DA390D"/>
    <w:pPr>
      <w:spacing w:after="0" w:line="240" w:lineRule="auto"/>
    </w:pPr>
    <w:rPr>
      <w:sz w:val="20"/>
      <w:szCs w:val="20"/>
    </w:rPr>
  </w:style>
  <w:style w:type="character" w:customStyle="1" w:styleId="VoetnoottekstChar">
    <w:name w:val="Voetnoottekst Char"/>
    <w:basedOn w:val="Standaardalinea-lettertype"/>
    <w:link w:val="Voetnoottekst"/>
    <w:uiPriority w:val="99"/>
    <w:rsid w:val="00DA390D"/>
  </w:style>
  <w:style w:type="character" w:styleId="Voetnootmarkering">
    <w:name w:val="footnote reference"/>
    <w:basedOn w:val="Standaardalinea-lettertype"/>
    <w:uiPriority w:val="99"/>
    <w:semiHidden/>
    <w:unhideWhenUsed/>
    <w:rsid w:val="00DA390D"/>
    <w:rPr>
      <w:vertAlign w:val="superscript"/>
    </w:rPr>
  </w:style>
  <w:style w:type="paragraph" w:styleId="Ballontekst">
    <w:name w:val="Balloon Text"/>
    <w:basedOn w:val="Standaard"/>
    <w:link w:val="BallontekstChar"/>
    <w:uiPriority w:val="99"/>
    <w:semiHidden/>
    <w:unhideWhenUsed/>
    <w:rsid w:val="0087672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6722"/>
    <w:rPr>
      <w:rFonts w:ascii="Tahoma" w:hAnsi="Tahoma" w:cs="Tahoma"/>
      <w:sz w:val="16"/>
      <w:szCs w:val="16"/>
    </w:rPr>
  </w:style>
  <w:style w:type="paragraph" w:styleId="Koptekst">
    <w:name w:val="header"/>
    <w:basedOn w:val="Standaard"/>
    <w:link w:val="KoptekstChar"/>
    <w:uiPriority w:val="99"/>
    <w:unhideWhenUsed/>
    <w:rsid w:val="000557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745"/>
    <w:rPr>
      <w:sz w:val="22"/>
      <w:szCs w:val="22"/>
    </w:rPr>
  </w:style>
  <w:style w:type="paragraph" w:styleId="Voettekst">
    <w:name w:val="footer"/>
    <w:basedOn w:val="Standaard"/>
    <w:link w:val="VoettekstChar"/>
    <w:uiPriority w:val="99"/>
    <w:unhideWhenUsed/>
    <w:rsid w:val="000557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745"/>
    <w:rPr>
      <w:sz w:val="22"/>
      <w:szCs w:val="22"/>
    </w:rPr>
  </w:style>
  <w:style w:type="table" w:styleId="Tabelraster">
    <w:name w:val="Table Grid"/>
    <w:basedOn w:val="Standaardtabel"/>
    <w:uiPriority w:val="59"/>
    <w:rsid w:val="00041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46120"/>
    <w:rPr>
      <w:color w:val="0000FF" w:themeColor="hyperlink"/>
      <w:u w:val="single"/>
    </w:rPr>
  </w:style>
  <w:style w:type="character" w:styleId="GevolgdeHyperlink">
    <w:name w:val="FollowedHyperlink"/>
    <w:basedOn w:val="Standaardalinea-lettertype"/>
    <w:uiPriority w:val="99"/>
    <w:semiHidden/>
    <w:unhideWhenUsed/>
    <w:rsid w:val="00E46120"/>
    <w:rPr>
      <w:color w:val="800080" w:themeColor="followedHyperlink"/>
      <w:u w:val="single"/>
    </w:rPr>
  </w:style>
  <w:style w:type="paragraph" w:styleId="Eindnoottekst">
    <w:name w:val="endnote text"/>
    <w:basedOn w:val="Standaard"/>
    <w:link w:val="EindnoottekstChar"/>
    <w:uiPriority w:val="99"/>
    <w:semiHidden/>
    <w:unhideWhenUsed/>
    <w:rsid w:val="00687CD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87CD6"/>
  </w:style>
  <w:style w:type="character" w:styleId="Eindnootmarkering">
    <w:name w:val="endnote reference"/>
    <w:basedOn w:val="Standaardalinea-lettertype"/>
    <w:uiPriority w:val="99"/>
    <w:semiHidden/>
    <w:unhideWhenUsed/>
    <w:rsid w:val="00687C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50529"/>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12358"/>
    <w:pPr>
      <w:ind w:left="720"/>
      <w:contextualSpacing/>
    </w:pPr>
  </w:style>
  <w:style w:type="paragraph" w:styleId="Voetnoottekst">
    <w:name w:val="footnote text"/>
    <w:basedOn w:val="Standaard"/>
    <w:link w:val="VoetnoottekstChar"/>
    <w:uiPriority w:val="99"/>
    <w:unhideWhenUsed/>
    <w:rsid w:val="00DA390D"/>
    <w:pPr>
      <w:spacing w:after="0" w:line="240" w:lineRule="auto"/>
    </w:pPr>
    <w:rPr>
      <w:sz w:val="20"/>
      <w:szCs w:val="20"/>
    </w:rPr>
  </w:style>
  <w:style w:type="character" w:customStyle="1" w:styleId="VoetnoottekstChar">
    <w:name w:val="Voetnoottekst Char"/>
    <w:basedOn w:val="Standaardalinea-lettertype"/>
    <w:link w:val="Voetnoottekst"/>
    <w:uiPriority w:val="99"/>
    <w:rsid w:val="00DA390D"/>
  </w:style>
  <w:style w:type="character" w:styleId="Voetnootmarkering">
    <w:name w:val="footnote reference"/>
    <w:basedOn w:val="Standaardalinea-lettertype"/>
    <w:uiPriority w:val="99"/>
    <w:semiHidden/>
    <w:unhideWhenUsed/>
    <w:rsid w:val="00DA390D"/>
    <w:rPr>
      <w:vertAlign w:val="superscript"/>
    </w:rPr>
  </w:style>
  <w:style w:type="paragraph" w:styleId="Ballontekst">
    <w:name w:val="Balloon Text"/>
    <w:basedOn w:val="Standaard"/>
    <w:link w:val="BallontekstChar"/>
    <w:uiPriority w:val="99"/>
    <w:semiHidden/>
    <w:unhideWhenUsed/>
    <w:rsid w:val="0087672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6722"/>
    <w:rPr>
      <w:rFonts w:ascii="Tahoma" w:hAnsi="Tahoma" w:cs="Tahoma"/>
      <w:sz w:val="16"/>
      <w:szCs w:val="16"/>
    </w:rPr>
  </w:style>
  <w:style w:type="paragraph" w:styleId="Koptekst">
    <w:name w:val="header"/>
    <w:basedOn w:val="Standaard"/>
    <w:link w:val="KoptekstChar"/>
    <w:uiPriority w:val="99"/>
    <w:unhideWhenUsed/>
    <w:rsid w:val="000557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745"/>
    <w:rPr>
      <w:sz w:val="22"/>
      <w:szCs w:val="22"/>
    </w:rPr>
  </w:style>
  <w:style w:type="paragraph" w:styleId="Voettekst">
    <w:name w:val="footer"/>
    <w:basedOn w:val="Standaard"/>
    <w:link w:val="VoettekstChar"/>
    <w:uiPriority w:val="99"/>
    <w:unhideWhenUsed/>
    <w:rsid w:val="000557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745"/>
    <w:rPr>
      <w:sz w:val="22"/>
      <w:szCs w:val="22"/>
    </w:rPr>
  </w:style>
  <w:style w:type="table" w:styleId="Tabelraster">
    <w:name w:val="Table Grid"/>
    <w:basedOn w:val="Standaardtabel"/>
    <w:uiPriority w:val="59"/>
    <w:rsid w:val="00041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46120"/>
    <w:rPr>
      <w:color w:val="0000FF" w:themeColor="hyperlink"/>
      <w:u w:val="single"/>
    </w:rPr>
  </w:style>
  <w:style w:type="character" w:styleId="GevolgdeHyperlink">
    <w:name w:val="FollowedHyperlink"/>
    <w:basedOn w:val="Standaardalinea-lettertype"/>
    <w:uiPriority w:val="99"/>
    <w:semiHidden/>
    <w:unhideWhenUsed/>
    <w:rsid w:val="00E46120"/>
    <w:rPr>
      <w:color w:val="800080" w:themeColor="followedHyperlink"/>
      <w:u w:val="single"/>
    </w:rPr>
  </w:style>
  <w:style w:type="paragraph" w:styleId="Eindnoottekst">
    <w:name w:val="endnote text"/>
    <w:basedOn w:val="Standaard"/>
    <w:link w:val="EindnoottekstChar"/>
    <w:uiPriority w:val="99"/>
    <w:semiHidden/>
    <w:unhideWhenUsed/>
    <w:rsid w:val="00687CD6"/>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87CD6"/>
  </w:style>
  <w:style w:type="character" w:styleId="Eindnootmarkering">
    <w:name w:val="endnote reference"/>
    <w:basedOn w:val="Standaardalinea-lettertype"/>
    <w:uiPriority w:val="99"/>
    <w:semiHidden/>
    <w:unhideWhenUsed/>
    <w:rsid w:val="00687C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rovincieantwerpen.be/content/provant/nl/beleid/welzijn-en-gezondheid/sociale-planning.html"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www4.vlaanderen.be/sites/svr/Pages/2015-01-29-projecties.asp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p@provincieantwerpen.be" TargetMode="Externa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http://statbel.fgov.b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provincieantwerpen.be/aanbod/dwep/dwg/thematische-studies.html" TargetMode="External"/><Relationship Id="rId3" Type="http://schemas.openxmlformats.org/officeDocument/2006/relationships/hyperlink" Target="http://www4.vlaanderen.be/dar/svr/afbeeldingennieuwtjes/demografie/bijlagen/proj2014_bevolking_metadata.pdf" TargetMode="External"/><Relationship Id="rId7" Type="http://schemas.openxmlformats.org/officeDocument/2006/relationships/hyperlink" Target="http://www4.vlaanderen.be/dar/svr/afbeeldingennieuwtjes/demografie/bijlagen/proj2014_bevolking_metadata.pdf" TargetMode="External"/><Relationship Id="rId2" Type="http://schemas.openxmlformats.org/officeDocument/2006/relationships/hyperlink" Target="http://statbel.fgov.be/nl/modules/publications/statistiques/bevolking/downloads/bevolking_sterftetafels.jsp" TargetMode="External"/><Relationship Id="rId1" Type="http://schemas.openxmlformats.org/officeDocument/2006/relationships/hyperlink" Target="http://www4.vlaanderen.be/sites/svr/Pages/2015-01-29-projecties.aspx" TargetMode="External"/><Relationship Id="rId6" Type="http://schemas.openxmlformats.org/officeDocument/2006/relationships/hyperlink" Target="http://www4.vlaanderen.be/dar/svr/afbeeldingennieuwtjes/demografie/bijlagen/proj2014_bevolking_metadata.pdf" TargetMode="External"/><Relationship Id="rId11" Type="http://schemas.openxmlformats.org/officeDocument/2006/relationships/hyperlink" Target="http://www.provincieantwerpen.be/aanbod/dwep/dwg/thematische-studies.html" TargetMode="External"/><Relationship Id="rId5" Type="http://schemas.openxmlformats.org/officeDocument/2006/relationships/hyperlink" Target="http://www4.vlaanderen.be/dar/svr/afbeeldingennieuwtjes/demografie/bijlagen/proj2014_bevolking_metadata.pdf" TargetMode="External"/><Relationship Id="rId10" Type="http://schemas.openxmlformats.org/officeDocument/2006/relationships/hyperlink" Target="http://www.provincieantwerpen.be/aanbod/dwep/dwg/thematische-studies.html" TargetMode="External"/><Relationship Id="rId4" Type="http://schemas.openxmlformats.org/officeDocument/2006/relationships/hyperlink" Target="http://www4.vlaanderen.be/dar/svr/afbeeldingennieuwtjes/demografie/bijlagen/proj2014_bevolking_metadata.pdf" TargetMode="External"/><Relationship Id="rId9" Type="http://schemas.openxmlformats.org/officeDocument/2006/relationships/hyperlink" Target="http://www.statbel.fgov.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2B09-58DC-4F27-B320-CA81D36B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30</Pages>
  <Words>6572</Words>
  <Characters>36148</Characters>
  <Application>Microsoft Office Word</Application>
  <DocSecurity>0</DocSecurity>
  <Lines>301</Lines>
  <Paragraphs>85</Paragraphs>
  <ScaleCrop>false</ScaleCrop>
  <HeadingPairs>
    <vt:vector size="2" baseType="variant">
      <vt:variant>
        <vt:lpstr>Titel</vt:lpstr>
      </vt:variant>
      <vt:variant>
        <vt:i4>1</vt:i4>
      </vt:variant>
    </vt:vector>
  </HeadingPairs>
  <TitlesOfParts>
    <vt:vector size="1" baseType="lpstr">
      <vt:lpstr/>
    </vt:vector>
  </TitlesOfParts>
  <Company>PROVANT</Company>
  <LinksUpToDate>false</LinksUpToDate>
  <CharactersWithSpaces>42635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BOTTU</dc:creator>
  <cp:lastModifiedBy>Guido BOTTU</cp:lastModifiedBy>
  <cp:revision>21</cp:revision>
  <cp:lastPrinted>2015-05-15T14:00:00Z</cp:lastPrinted>
  <dcterms:created xsi:type="dcterms:W3CDTF">2015-05-20T07:52:00Z</dcterms:created>
  <dcterms:modified xsi:type="dcterms:W3CDTF">2015-06-30T07:09:00Z</dcterms:modified>
</cp:coreProperties>
</file>